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center"/>
        <w:rPr>
          <w:rFonts w:ascii="Calibri" w:hAnsi="Calibri"/>
          <w:b/>
          <w:sz w:val="36"/>
          <w:szCs w:val="36"/>
        </w:rPr>
      </w:pPr>
      <w:bookmarkStart w:id="0" w:name="_GoBack"/>
      <w:bookmarkEnd w:id="0"/>
      <w:r>
        <w:rPr>
          <w:rFonts w:ascii="Calibri" w:hAnsi="Calibri"/>
          <w:b/>
          <w:sz w:val="28"/>
          <w:szCs w:val="28"/>
          <w:u w:val="single"/>
        </w:rPr>
        <w:t>Nutfield Church (C of E) School</w:t>
      </w:r>
    </w:p>
    <w:p>
      <w:pPr>
        <w:jc w:val="center"/>
        <w:rPr>
          <w:rFonts w:ascii="Calibri" w:hAnsi="Calibri"/>
          <w:b/>
          <w:u w:val="single"/>
        </w:rPr>
      </w:pPr>
      <w:r>
        <w:rPr>
          <w:rFonts w:ascii="Calibri" w:hAnsi="Calibri"/>
          <w:b/>
        </w:rPr>
        <w:object w:dxaOrig="8114" w:dyaOrig="94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5pt;height:45.4pt" o:ole="">
            <v:imagedata r:id="rId5" o:title=""/>
          </v:shape>
          <o:OLEObject Type="Embed" ProgID="MSPhotoEd.3" ShapeID="_x0000_i1025" DrawAspect="Content" ObjectID="_1730612290" r:id="rId6"/>
        </w:object>
      </w:r>
    </w:p>
    <w:p>
      <w:pPr>
        <w:jc w:val="center"/>
        <w:rPr>
          <w:rFonts w:ascii="Calibri" w:hAnsi="Calibri"/>
          <w:b/>
          <w:u w:val="single"/>
        </w:rPr>
      </w:pPr>
      <w:r>
        <w:rPr>
          <w:rFonts w:ascii="Calibri" w:hAnsi="Calibri"/>
          <w:b/>
          <w:u w:val="single"/>
        </w:rPr>
        <w:t xml:space="preserve">GOVERNOR MONITORING  </w:t>
      </w:r>
    </w:p>
    <w:p>
      <w:pPr>
        <w:jc w:val="center"/>
        <w:rPr>
          <w:rFonts w:ascii="Calibri" w:hAnsi="Calibri"/>
          <w:b/>
          <w:sz w:val="22"/>
          <w:szCs w:val="22"/>
        </w:rPr>
      </w:pPr>
      <w:r>
        <w:rPr>
          <w:rFonts w:ascii="Calibri" w:hAnsi="Calibri"/>
          <w:b/>
          <w:sz w:val="22"/>
          <w:szCs w:val="22"/>
        </w:rPr>
        <w:t xml:space="preserve">COMMUNITY, PEACE, WISDOM, HOPE, DIGNITY, JOY </w:t>
      </w:r>
    </w:p>
    <w:p>
      <w:pPr>
        <w:rPr>
          <w:rFonts w:ascii="Calibri" w:hAnsi="Calibri"/>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91"/>
        <w:gridCol w:w="2092"/>
        <w:gridCol w:w="2306"/>
        <w:gridCol w:w="2549"/>
        <w:gridCol w:w="2376"/>
      </w:tblGrid>
      <w:tr>
        <w:tc>
          <w:tcPr>
            <w:tcW w:w="5389" w:type="dxa"/>
            <w:gridSpan w:val="3"/>
            <w:tcBorders>
              <w:right w:val="single" w:sz="12" w:space="0" w:color="000000"/>
            </w:tcBorders>
          </w:tcPr>
          <w:p>
            <w:pPr>
              <w:rPr>
                <w:rFonts w:ascii="Calibri" w:hAnsi="Calibri"/>
              </w:rPr>
            </w:pPr>
            <w:r>
              <w:rPr>
                <w:rFonts w:ascii="Calibri" w:hAnsi="Calibri"/>
              </w:rPr>
              <w:t xml:space="preserve">Name of Governors: </w:t>
            </w:r>
          </w:p>
          <w:p>
            <w:pPr>
              <w:rPr>
                <w:rFonts w:ascii="Calibri" w:hAnsi="Calibri"/>
              </w:rPr>
            </w:pPr>
            <w:r>
              <w:rPr>
                <w:rFonts w:ascii="Calibri" w:hAnsi="Calibri"/>
              </w:rPr>
              <w:t>Laura Castleman and Jane Vorster</w:t>
            </w:r>
          </w:p>
          <w:p>
            <w:pPr>
              <w:rPr>
                <w:rFonts w:ascii="Calibri" w:hAnsi="Calibri"/>
              </w:rPr>
            </w:pPr>
          </w:p>
        </w:tc>
        <w:tc>
          <w:tcPr>
            <w:tcW w:w="4925" w:type="dxa"/>
            <w:gridSpan w:val="2"/>
            <w:tcBorders>
              <w:left w:val="single" w:sz="12" w:space="0" w:color="000000"/>
            </w:tcBorders>
          </w:tcPr>
          <w:p>
            <w:pPr>
              <w:rPr>
                <w:rFonts w:ascii="Calibri" w:hAnsi="Calibri"/>
              </w:rPr>
            </w:pPr>
            <w:r>
              <w:rPr>
                <w:rFonts w:ascii="Calibri" w:hAnsi="Calibri"/>
              </w:rPr>
              <w:t xml:space="preserve">Date: </w:t>
            </w:r>
          </w:p>
          <w:p>
            <w:pPr>
              <w:rPr>
                <w:rFonts w:ascii="Calibri" w:hAnsi="Calibri"/>
              </w:rPr>
            </w:pPr>
            <w:r>
              <w:rPr>
                <w:rFonts w:ascii="Calibri" w:hAnsi="Calibri"/>
              </w:rPr>
              <w:t>10 November 2022</w:t>
            </w:r>
          </w:p>
        </w:tc>
      </w:tr>
      <w:tr>
        <w:trPr>
          <w:trHeight w:val="391"/>
        </w:trPr>
        <w:tc>
          <w:tcPr>
            <w:tcW w:w="10314" w:type="dxa"/>
            <w:gridSpan w:val="5"/>
            <w:tcBorders>
              <w:bottom w:val="single" w:sz="4" w:space="0" w:color="000000"/>
            </w:tcBorders>
          </w:tcPr>
          <w:p>
            <w:pPr>
              <w:rPr>
                <w:rFonts w:ascii="Calibri" w:hAnsi="Calibri"/>
              </w:rPr>
            </w:pPr>
            <w:r>
              <w:rPr>
                <w:rFonts w:ascii="Calibri" w:hAnsi="Calibri"/>
              </w:rPr>
              <w:t xml:space="preserve">Focus Area(s): Personal Development, </w:t>
            </w:r>
            <w:proofErr w:type="spellStart"/>
            <w:r>
              <w:rPr>
                <w:rFonts w:ascii="Calibri" w:hAnsi="Calibri"/>
              </w:rPr>
              <w:t>Behaviour</w:t>
            </w:r>
            <w:proofErr w:type="spellEnd"/>
            <w:r>
              <w:rPr>
                <w:rFonts w:ascii="Calibri" w:hAnsi="Calibri"/>
              </w:rPr>
              <w:t xml:space="preserve"> and Attitudes; Anti-bullying Agenda and Gold Award</w:t>
            </w:r>
          </w:p>
        </w:tc>
      </w:tr>
      <w:tr>
        <w:trPr>
          <w:trHeight w:val="292"/>
        </w:trPr>
        <w:tc>
          <w:tcPr>
            <w:tcW w:w="991" w:type="dxa"/>
            <w:tcBorders>
              <w:top w:val="single" w:sz="12" w:space="0" w:color="000000"/>
              <w:right w:val="single" w:sz="12" w:space="0" w:color="000000"/>
            </w:tcBorders>
          </w:tcPr>
          <w:p>
            <w:pPr>
              <w:rPr>
                <w:rFonts w:ascii="Calibri" w:hAnsi="Calibri"/>
                <w:b/>
              </w:rPr>
            </w:pPr>
            <w:r>
              <w:rPr>
                <w:rFonts w:ascii="Calibri" w:hAnsi="Calibri"/>
                <w:b/>
              </w:rPr>
              <w:t>SIAMS</w:t>
            </w:r>
          </w:p>
        </w:tc>
        <w:tc>
          <w:tcPr>
            <w:tcW w:w="2092" w:type="dxa"/>
            <w:shd w:val="clear" w:color="auto" w:fill="FFFF00"/>
          </w:tcPr>
          <w:p>
            <w:pPr>
              <w:rPr>
                <w:rFonts w:ascii="Calibri" w:hAnsi="Calibri"/>
                <w:sz w:val="22"/>
                <w:szCs w:val="22"/>
              </w:rPr>
            </w:pPr>
            <w:r>
              <w:rPr>
                <w:rFonts w:ascii="Calibri" w:hAnsi="Calibri"/>
                <w:sz w:val="22"/>
                <w:szCs w:val="22"/>
              </w:rPr>
              <w:t>Vision and Leadership</w:t>
            </w:r>
          </w:p>
        </w:tc>
        <w:tc>
          <w:tcPr>
            <w:tcW w:w="2306" w:type="dxa"/>
            <w:shd w:val="clear" w:color="auto" w:fill="FFFF00"/>
          </w:tcPr>
          <w:p>
            <w:pPr>
              <w:rPr>
                <w:rFonts w:ascii="Calibri" w:hAnsi="Calibri"/>
                <w:sz w:val="22"/>
                <w:szCs w:val="22"/>
              </w:rPr>
            </w:pPr>
            <w:r>
              <w:rPr>
                <w:rFonts w:ascii="Calibri" w:hAnsi="Calibri"/>
                <w:sz w:val="22"/>
                <w:szCs w:val="22"/>
              </w:rPr>
              <w:t>Wisdom, Knowledge and Skills</w:t>
            </w:r>
          </w:p>
        </w:tc>
        <w:tc>
          <w:tcPr>
            <w:tcW w:w="2549" w:type="dxa"/>
            <w:shd w:val="clear" w:color="auto" w:fill="FFFF00"/>
          </w:tcPr>
          <w:p>
            <w:pPr>
              <w:rPr>
                <w:rFonts w:ascii="Calibri" w:hAnsi="Calibri"/>
                <w:sz w:val="22"/>
                <w:szCs w:val="22"/>
              </w:rPr>
            </w:pPr>
            <w:r>
              <w:rPr>
                <w:rFonts w:ascii="Calibri" w:hAnsi="Calibri"/>
                <w:sz w:val="22"/>
                <w:szCs w:val="22"/>
              </w:rPr>
              <w:t>Character Development</w:t>
            </w:r>
          </w:p>
        </w:tc>
        <w:tc>
          <w:tcPr>
            <w:tcW w:w="2376" w:type="dxa"/>
            <w:shd w:val="clear" w:color="auto" w:fill="FFFF00"/>
          </w:tcPr>
          <w:p>
            <w:pPr>
              <w:rPr>
                <w:rFonts w:ascii="Calibri" w:hAnsi="Calibri"/>
                <w:sz w:val="22"/>
                <w:szCs w:val="22"/>
              </w:rPr>
            </w:pPr>
            <w:r>
              <w:rPr>
                <w:rFonts w:ascii="Calibri" w:hAnsi="Calibri"/>
                <w:sz w:val="22"/>
                <w:szCs w:val="22"/>
              </w:rPr>
              <w:t>Community and Living Well Together</w:t>
            </w:r>
          </w:p>
        </w:tc>
      </w:tr>
      <w:tr>
        <w:trPr>
          <w:trHeight w:val="292"/>
        </w:trPr>
        <w:tc>
          <w:tcPr>
            <w:tcW w:w="991" w:type="dxa"/>
            <w:tcBorders>
              <w:top w:val="single" w:sz="12" w:space="0" w:color="000000"/>
              <w:right w:val="single" w:sz="12" w:space="0" w:color="000000"/>
            </w:tcBorders>
          </w:tcPr>
          <w:p>
            <w:pPr>
              <w:rPr>
                <w:rFonts w:ascii="Calibri" w:hAnsi="Calibri"/>
                <w:b/>
              </w:rPr>
            </w:pPr>
          </w:p>
        </w:tc>
        <w:tc>
          <w:tcPr>
            <w:tcW w:w="2092" w:type="dxa"/>
            <w:shd w:val="clear" w:color="auto" w:fill="FFFF00"/>
          </w:tcPr>
          <w:p>
            <w:pPr>
              <w:rPr>
                <w:rFonts w:ascii="Calibri" w:hAnsi="Calibri"/>
                <w:sz w:val="22"/>
                <w:szCs w:val="22"/>
              </w:rPr>
            </w:pPr>
            <w:r>
              <w:rPr>
                <w:rFonts w:ascii="Calibri" w:hAnsi="Calibri"/>
                <w:sz w:val="22"/>
                <w:szCs w:val="22"/>
              </w:rPr>
              <w:t>Dignity and Respect</w:t>
            </w:r>
          </w:p>
        </w:tc>
        <w:tc>
          <w:tcPr>
            <w:tcW w:w="2306" w:type="dxa"/>
            <w:shd w:val="clear" w:color="auto" w:fill="FFFF00"/>
          </w:tcPr>
          <w:p>
            <w:pPr>
              <w:rPr>
                <w:rFonts w:ascii="Calibri" w:hAnsi="Calibri"/>
                <w:sz w:val="22"/>
                <w:szCs w:val="22"/>
              </w:rPr>
            </w:pPr>
            <w:r>
              <w:rPr>
                <w:rFonts w:ascii="Calibri" w:hAnsi="Calibri"/>
                <w:sz w:val="22"/>
                <w:szCs w:val="22"/>
              </w:rPr>
              <w:t>Collective Worship</w:t>
            </w:r>
          </w:p>
        </w:tc>
        <w:tc>
          <w:tcPr>
            <w:tcW w:w="2549" w:type="dxa"/>
            <w:shd w:val="clear" w:color="auto" w:fill="FFFF00"/>
          </w:tcPr>
          <w:p>
            <w:pPr>
              <w:rPr>
                <w:rFonts w:ascii="Calibri" w:hAnsi="Calibri"/>
                <w:sz w:val="22"/>
                <w:szCs w:val="22"/>
              </w:rPr>
            </w:pPr>
            <w:r>
              <w:rPr>
                <w:rFonts w:ascii="Calibri" w:hAnsi="Calibri"/>
                <w:sz w:val="22"/>
                <w:szCs w:val="22"/>
              </w:rPr>
              <w:t>Religious Education</w:t>
            </w:r>
          </w:p>
        </w:tc>
        <w:tc>
          <w:tcPr>
            <w:tcW w:w="2376" w:type="dxa"/>
            <w:shd w:val="clear" w:color="auto" w:fill="auto"/>
          </w:tcPr>
          <w:p>
            <w:pPr>
              <w:rPr>
                <w:rFonts w:ascii="Calibri" w:hAnsi="Calibri"/>
                <w:sz w:val="22"/>
                <w:szCs w:val="22"/>
              </w:rPr>
            </w:pPr>
          </w:p>
        </w:tc>
      </w:tr>
      <w:tr>
        <w:trPr>
          <w:trHeight w:val="292"/>
        </w:trPr>
        <w:tc>
          <w:tcPr>
            <w:tcW w:w="991" w:type="dxa"/>
            <w:tcBorders>
              <w:top w:val="single" w:sz="12" w:space="0" w:color="000000"/>
              <w:right w:val="single" w:sz="12" w:space="0" w:color="000000"/>
            </w:tcBorders>
            <w:shd w:val="clear" w:color="auto" w:fill="auto"/>
          </w:tcPr>
          <w:p>
            <w:pPr>
              <w:rPr>
                <w:rFonts w:ascii="Calibri" w:hAnsi="Calibri"/>
                <w:b/>
              </w:rPr>
            </w:pPr>
            <w:r>
              <w:rPr>
                <w:rFonts w:ascii="Calibri" w:hAnsi="Calibri"/>
                <w:b/>
              </w:rPr>
              <w:t>OFSTED</w:t>
            </w:r>
          </w:p>
        </w:tc>
        <w:tc>
          <w:tcPr>
            <w:tcW w:w="2092" w:type="dxa"/>
            <w:shd w:val="clear" w:color="auto" w:fill="auto"/>
          </w:tcPr>
          <w:p>
            <w:pPr>
              <w:rPr>
                <w:rFonts w:ascii="Calibri" w:hAnsi="Calibri"/>
                <w:sz w:val="22"/>
                <w:szCs w:val="22"/>
              </w:rPr>
            </w:pPr>
            <w:r>
              <w:rPr>
                <w:rFonts w:ascii="Calibri" w:hAnsi="Calibri"/>
                <w:sz w:val="22"/>
                <w:szCs w:val="22"/>
              </w:rPr>
              <w:t xml:space="preserve">Quality of Education </w:t>
            </w:r>
          </w:p>
        </w:tc>
        <w:tc>
          <w:tcPr>
            <w:tcW w:w="2306" w:type="dxa"/>
            <w:shd w:val="clear" w:color="auto" w:fill="auto"/>
          </w:tcPr>
          <w:p>
            <w:pPr>
              <w:rPr>
                <w:rFonts w:ascii="Calibri" w:hAnsi="Calibri"/>
                <w:sz w:val="22"/>
                <w:szCs w:val="22"/>
              </w:rPr>
            </w:pPr>
            <w:proofErr w:type="spellStart"/>
            <w:r>
              <w:rPr>
                <w:rFonts w:ascii="Calibri" w:hAnsi="Calibri"/>
                <w:sz w:val="22"/>
                <w:szCs w:val="22"/>
              </w:rPr>
              <w:t>Behaviour</w:t>
            </w:r>
            <w:proofErr w:type="spellEnd"/>
            <w:r>
              <w:rPr>
                <w:rFonts w:ascii="Calibri" w:hAnsi="Calibri"/>
                <w:sz w:val="22"/>
                <w:szCs w:val="22"/>
              </w:rPr>
              <w:t xml:space="preserve"> and Attitudes </w:t>
            </w:r>
          </w:p>
        </w:tc>
        <w:tc>
          <w:tcPr>
            <w:tcW w:w="2549" w:type="dxa"/>
            <w:shd w:val="clear" w:color="auto" w:fill="FFFF00"/>
          </w:tcPr>
          <w:p>
            <w:pPr>
              <w:rPr>
                <w:rFonts w:ascii="Calibri" w:hAnsi="Calibri"/>
                <w:sz w:val="22"/>
                <w:szCs w:val="22"/>
              </w:rPr>
            </w:pPr>
            <w:r>
              <w:rPr>
                <w:rFonts w:ascii="Calibri" w:hAnsi="Calibri"/>
                <w:sz w:val="22"/>
                <w:szCs w:val="22"/>
              </w:rPr>
              <w:t xml:space="preserve">Personal Development </w:t>
            </w:r>
          </w:p>
        </w:tc>
        <w:tc>
          <w:tcPr>
            <w:tcW w:w="2376" w:type="dxa"/>
            <w:shd w:val="clear" w:color="auto" w:fill="auto"/>
          </w:tcPr>
          <w:p>
            <w:pPr>
              <w:rPr>
                <w:rFonts w:ascii="Calibri" w:hAnsi="Calibri"/>
                <w:sz w:val="22"/>
                <w:szCs w:val="22"/>
              </w:rPr>
            </w:pPr>
            <w:r>
              <w:rPr>
                <w:rFonts w:ascii="Calibri" w:hAnsi="Calibri"/>
                <w:sz w:val="22"/>
                <w:szCs w:val="22"/>
              </w:rPr>
              <w:t xml:space="preserve">Leadership and Management </w:t>
            </w:r>
          </w:p>
        </w:tc>
      </w:tr>
      <w:tr>
        <w:trPr>
          <w:trHeight w:val="288"/>
        </w:trPr>
        <w:tc>
          <w:tcPr>
            <w:tcW w:w="10314" w:type="dxa"/>
            <w:gridSpan w:val="5"/>
          </w:tcPr>
          <w:p>
            <w:pPr>
              <w:rPr>
                <w:rFonts w:ascii="Calibri" w:hAnsi="Calibri"/>
              </w:rPr>
            </w:pPr>
            <w:r>
              <w:rPr>
                <w:rFonts w:ascii="Calibri" w:hAnsi="Calibri"/>
              </w:rPr>
              <w:t>Any safeguarding Issues: N/A</w:t>
            </w:r>
          </w:p>
        </w:tc>
      </w:tr>
      <w:tr>
        <w:trPr>
          <w:trHeight w:val="288"/>
        </w:trPr>
        <w:tc>
          <w:tcPr>
            <w:tcW w:w="10314" w:type="dxa"/>
            <w:gridSpan w:val="5"/>
          </w:tcPr>
          <w:p>
            <w:pPr>
              <w:rPr>
                <w:rFonts w:ascii="Calibri" w:hAnsi="Calibri"/>
              </w:rPr>
            </w:pPr>
            <w:r>
              <w:rPr>
                <w:rFonts w:ascii="Calibri" w:hAnsi="Calibri"/>
              </w:rPr>
              <w:t>Governor comments:</w:t>
            </w:r>
          </w:p>
          <w:p>
            <w:pPr>
              <w:rPr>
                <w:rFonts w:asciiTheme="minorHAnsi" w:hAnsiTheme="minorHAnsi" w:cstheme="minorHAnsi"/>
              </w:rPr>
            </w:pPr>
          </w:p>
          <w:p>
            <w:pPr>
              <w:rPr>
                <w:rFonts w:asciiTheme="minorHAnsi" w:hAnsiTheme="minorHAnsi" w:cstheme="minorHAnsi"/>
              </w:rPr>
            </w:pPr>
            <w:r>
              <w:rPr>
                <w:rFonts w:asciiTheme="minorHAnsi" w:hAnsiTheme="minorHAnsi" w:cstheme="minorHAnsi"/>
              </w:rPr>
              <w:t xml:space="preserve">We started our visit by meeting with the school Charity Ambassador, Chloe. Chloe had previously written a letter to Miss Woods to ask if she could do more for charities and in doing so, became the Charity Ambassador. Supported charities so far include: Loveworks, </w:t>
            </w:r>
            <w:proofErr w:type="spellStart"/>
            <w:r>
              <w:rPr>
                <w:rFonts w:asciiTheme="minorHAnsi" w:hAnsiTheme="minorHAnsi" w:cstheme="minorHAnsi"/>
              </w:rPr>
              <w:t>Stripey</w:t>
            </w:r>
            <w:proofErr w:type="spellEnd"/>
            <w:r>
              <w:rPr>
                <w:rFonts w:asciiTheme="minorHAnsi" w:hAnsiTheme="minorHAnsi" w:cstheme="minorHAnsi"/>
              </w:rPr>
              <w:t xml:space="preserve"> Stork and MacMillan Cancer Support. The Charity Ambassador has a page on the school website which includes a podcast (the first podcast interview was between Chloe and another pupil about the money the other pupil had raised for Diabetes UK). Chloe described how she is planning other fundraising opportunities at school, including a book sale after school where parents and children can buy books, a pre-loved toy sale, and a crazy hair day for a £1 donation. Chloe has routine meetings with Miss Woods to discuss school fundraising. This is a very special pupil-led initiative which benefits the school and wider community.</w:t>
            </w:r>
          </w:p>
          <w:p>
            <w:pPr>
              <w:spacing w:before="100" w:beforeAutospacing="1" w:after="100" w:afterAutospacing="1"/>
              <w:rPr>
                <w:rFonts w:asciiTheme="minorHAnsi" w:hAnsiTheme="minorHAnsi" w:cstheme="minorHAnsi"/>
              </w:rPr>
            </w:pPr>
            <w:r>
              <w:rPr>
                <w:rFonts w:asciiTheme="minorHAnsi" w:hAnsiTheme="minorHAnsi" w:cstheme="minorHAnsi"/>
                <w:color w:val="000000"/>
              </w:rPr>
              <w:t xml:space="preserve">Attendance has shown a culture shift since the pandemic - pupils are more likely to be kept at home for minor illness. Letters are sent home giving a child’s percentage attendance with reassurance that this percentage will improve as the year goes in if they attend regularly. Three pupils with medical needs have doctors' notes to explain absence. Where absence is prolonged, Google classrooms is used to deliver the curriculum. </w:t>
            </w:r>
            <w:r>
              <w:rPr>
                <w:rFonts w:asciiTheme="minorHAnsi" w:hAnsiTheme="minorHAnsi" w:cstheme="minorHAnsi"/>
              </w:rPr>
              <w:t>Discussions about absence and strategies around preventing persistent absence were meaningful and demonstrated robust measures to respond to persistent absence. For example, we saw examples of the letters which will be sent to parents if their child’s attendance is seen to be deemed as persistently absent. Letters explained persistent absence, but also retained a pastoral tone and made it clear that the school wants to help reduce this level of absence where possible. Additionally, broader strategies relating to absence were recognized, such as talking to parents/</w:t>
            </w:r>
            <w:proofErr w:type="spellStart"/>
            <w:r>
              <w:rPr>
                <w:rFonts w:asciiTheme="minorHAnsi" w:hAnsiTheme="minorHAnsi" w:cstheme="minorHAnsi"/>
              </w:rPr>
              <w:t>carers</w:t>
            </w:r>
            <w:proofErr w:type="spellEnd"/>
            <w:r>
              <w:rPr>
                <w:rFonts w:asciiTheme="minorHAnsi" w:hAnsiTheme="minorHAnsi" w:cstheme="minorHAnsi"/>
              </w:rPr>
              <w:t xml:space="preserve"> to better understand reasons for absence, and thus, alleviate absence where possible. ‘Talk time’ cards have been used as a method for a small number of children who have avoidable absence, but may sometimes need time out of class for personal reasons, this has made a significant difference for these children. ‘Talk time’ cards are held up by children during class and teachers acknowledge that they can then go to Miss Woods’ office (teachers do not know the reason for their ‘talk time’). This removal from class means that the children (and parents/</w:t>
            </w:r>
            <w:proofErr w:type="spellStart"/>
            <w:r>
              <w:rPr>
                <w:rFonts w:asciiTheme="minorHAnsi" w:hAnsiTheme="minorHAnsi" w:cstheme="minorHAnsi"/>
              </w:rPr>
              <w:t>carers</w:t>
            </w:r>
            <w:proofErr w:type="spellEnd"/>
            <w:r>
              <w:rPr>
                <w:rFonts w:asciiTheme="minorHAnsi" w:hAnsiTheme="minorHAnsi" w:cstheme="minorHAnsi"/>
              </w:rPr>
              <w:t>) are comfortable in school knowing that they have control to remove themselves from class when required, rather than continue to be absent from school due to physical/</w:t>
            </w:r>
            <w:proofErr w:type="spellStart"/>
            <w:r>
              <w:rPr>
                <w:rFonts w:asciiTheme="minorHAnsi" w:hAnsiTheme="minorHAnsi" w:cstheme="minorHAnsi"/>
              </w:rPr>
              <w:t>behavioural</w:t>
            </w:r>
            <w:proofErr w:type="spellEnd"/>
            <w:r>
              <w:rPr>
                <w:rFonts w:asciiTheme="minorHAnsi" w:hAnsiTheme="minorHAnsi" w:cstheme="minorHAnsi"/>
              </w:rPr>
              <w:t xml:space="preserve"> concerns. This strategy seems to be working extremely well for those few that require it and attendance has improved.</w:t>
            </w:r>
          </w:p>
          <w:p>
            <w:pPr>
              <w:rPr>
                <w:rFonts w:asciiTheme="minorHAnsi" w:hAnsiTheme="minorHAnsi" w:cstheme="minorHAnsi"/>
              </w:rPr>
            </w:pPr>
            <w:r>
              <w:rPr>
                <w:rFonts w:asciiTheme="minorHAnsi" w:hAnsiTheme="minorHAnsi" w:cstheme="minorHAnsi"/>
              </w:rPr>
              <w:t xml:space="preserve">After a tour around the school, it was very encouraging to see numerous posters, pictures and signs about anti-bullying on display: sometimes students designed pictures with words; sometimes ‘keep </w:t>
            </w:r>
            <w:r>
              <w:rPr>
                <w:rFonts w:asciiTheme="minorHAnsi" w:hAnsiTheme="minorHAnsi" w:cstheme="minorHAnsi"/>
              </w:rPr>
              <w:lastRenderedPageBreak/>
              <w:t>calm and carry on’ style posters which explain that people should ‘use kind words, encouraging words, and well thought through words’ were visible (when asked, a child in year 2 was able to repeat this lovely mantra). A Pupil Charter is also signed at the beginning of the year and includes the words: ‘we are all different and we like it that way’ (this charter is displayed in the classrooms and pupils were all aware of this special message about individual difference). We stopped in year 5 where we met the equality ambassadors for the school (the entire class). They were able to recite key aspects of equality that they will be learning more about: race, religion, gender and family makeup. Miss Woods explained that the children will be completing an equality research project where they will ask questions to other children in the school, using this as an important cross-curricular opportunity: developing and applying research skills whilst learning about and then promoting equality. Three or four meetings per year will be held to discuss equality in the school. Finally, our visit into year 6 allowed them to discuss their ‘buddy’ system, where each year 6 buddies up with a reception child. They described their recent Collective Worship where they made promises to their buddies and also met parents of their buddies too. They seemed very proud about their role in looking after younger children and ensuring that they felt safe and happy at school. One year 6 showed a picture that their buddy had drawn for them – they clearly have very nice relationships and take pride in their roles.</w:t>
            </w:r>
          </w:p>
          <w:p>
            <w:pPr>
              <w:rPr>
                <w:rFonts w:asciiTheme="minorHAnsi" w:hAnsiTheme="minorHAnsi" w:cstheme="minorHAnsi"/>
              </w:rPr>
            </w:pPr>
          </w:p>
          <w:p>
            <w:pPr>
              <w:rPr>
                <w:rFonts w:asciiTheme="minorHAnsi" w:hAnsiTheme="minorHAnsi" w:cstheme="minorHAnsi"/>
              </w:rPr>
            </w:pPr>
            <w:r>
              <w:rPr>
                <w:rFonts w:asciiTheme="minorHAnsi" w:hAnsiTheme="minorHAnsi" w:cstheme="minorHAnsi"/>
              </w:rPr>
              <w:t xml:space="preserve">We looked at the Education Inspection Framework, </w:t>
            </w:r>
            <w:proofErr w:type="spellStart"/>
            <w:r>
              <w:rPr>
                <w:rFonts w:asciiTheme="minorHAnsi" w:hAnsiTheme="minorHAnsi" w:cstheme="minorHAnsi"/>
              </w:rPr>
              <w:t>Behaviour</w:t>
            </w:r>
            <w:proofErr w:type="spellEnd"/>
            <w:r>
              <w:rPr>
                <w:rFonts w:asciiTheme="minorHAnsi" w:hAnsiTheme="minorHAnsi" w:cstheme="minorHAnsi"/>
              </w:rPr>
              <w:t xml:space="preserve"> and Attitudes, before seeing how the school applies and enacts policy ideas. </w:t>
            </w:r>
            <w:proofErr w:type="spellStart"/>
            <w:r>
              <w:rPr>
                <w:rFonts w:asciiTheme="minorHAnsi" w:hAnsiTheme="minorHAnsi" w:cstheme="minorHAnsi"/>
              </w:rPr>
              <w:t>Behaviour</w:t>
            </w:r>
            <w:proofErr w:type="spellEnd"/>
            <w:r>
              <w:rPr>
                <w:rFonts w:asciiTheme="minorHAnsi" w:hAnsiTheme="minorHAnsi" w:cstheme="minorHAnsi"/>
              </w:rPr>
              <w:t xml:space="preserve"> sheets are visible at the bottom right of all white boards at the front of the classes. Here, a mark is made by the teacher if a child creates mild disruption (Miss Woods described research which links low level disruption in primary school as impacting upon exam grades in later education). There were very few marks on the sheets, but, if a particular child engages in low level disruption too frequently, they are asked to take 5 minutes in a separate space in class. These sheets are monitored by Miss Woods and are meant to ensure that expectations around </w:t>
            </w:r>
            <w:proofErr w:type="spellStart"/>
            <w:r>
              <w:rPr>
                <w:rFonts w:asciiTheme="minorHAnsi" w:hAnsiTheme="minorHAnsi" w:cstheme="minorHAnsi"/>
              </w:rPr>
              <w:t>behaviour</w:t>
            </w:r>
            <w:proofErr w:type="spellEnd"/>
            <w:r>
              <w:rPr>
                <w:rFonts w:asciiTheme="minorHAnsi" w:hAnsiTheme="minorHAnsi" w:cstheme="minorHAnsi"/>
              </w:rPr>
              <w:t xml:space="preserve"> are understood and maintained. </w:t>
            </w:r>
            <w:r>
              <w:rPr>
                <w:rFonts w:asciiTheme="minorHAnsi" w:hAnsiTheme="minorHAnsi" w:cstheme="minorHAnsi"/>
                <w:color w:val="000000"/>
                <w:shd w:val="clear" w:color="auto" w:fill="FFFFFF"/>
              </w:rPr>
              <w:t xml:space="preserve">This is very effective in reducing incidence. </w:t>
            </w:r>
            <w:r>
              <w:rPr>
                <w:rFonts w:asciiTheme="minorHAnsi" w:hAnsiTheme="minorHAnsi" w:cstheme="minorHAnsi"/>
              </w:rPr>
              <w:t xml:space="preserve">In reception, children were engaged in free-play, whilst others were engaged in phonics on a table with the TA, and others were at another table with the teacher. Children on tables were not distracted by those playing around them, and those playing were not trying to disrupt those learning on tables. Play included building marble runs amongst and other activities. Around the school, there was a clear culture around expectations, engagement and respecting others (teachers and pupils). Teachers maintained good </w:t>
            </w:r>
            <w:proofErr w:type="spellStart"/>
            <w:r>
              <w:rPr>
                <w:rFonts w:asciiTheme="minorHAnsi" w:hAnsiTheme="minorHAnsi" w:cstheme="minorHAnsi"/>
              </w:rPr>
              <w:t>behaviour</w:t>
            </w:r>
            <w:proofErr w:type="spellEnd"/>
            <w:r>
              <w:rPr>
                <w:rFonts w:asciiTheme="minorHAnsi" w:hAnsiTheme="minorHAnsi" w:cstheme="minorHAnsi"/>
              </w:rPr>
              <w:t xml:space="preserve"> exceedingly well in class, both through seated learning in KS2, and also during more active learning in KS1. For example, in year 1, during a re-enactment of Noah’s Ark where children were acting as animals, the class stopped acting as noisy animals and spoke with us as teachers used the ‘5,4,3,2,1’ hand &amp; eye-contact method to gain class attention and concentration. This was similar in year 2 where they were excited about playing ukuleles and transitioning to practicing their nativity, but also responded to the same technique in order to stop what they were doing and engage with us. Their </w:t>
            </w:r>
            <w:proofErr w:type="spellStart"/>
            <w:r>
              <w:rPr>
                <w:rFonts w:asciiTheme="minorHAnsi" w:hAnsiTheme="minorHAnsi" w:cstheme="minorHAnsi"/>
              </w:rPr>
              <w:t>behaviour</w:t>
            </w:r>
            <w:proofErr w:type="spellEnd"/>
            <w:r>
              <w:rPr>
                <w:rFonts w:asciiTheme="minorHAnsi" w:hAnsiTheme="minorHAnsi" w:cstheme="minorHAnsi"/>
              </w:rPr>
              <w:t xml:space="preserve"> was truly exemplary. Overall, t</w:t>
            </w:r>
            <w:r>
              <w:rPr>
                <w:rFonts w:asciiTheme="minorHAnsi" w:hAnsiTheme="minorHAnsi" w:cstheme="minorHAnsi"/>
                <w:color w:val="000000"/>
                <w:shd w:val="clear" w:color="auto" w:fill="FFFFFF"/>
              </w:rPr>
              <w:t xml:space="preserve">he school environment was purposeful and enthusiastic. </w:t>
            </w:r>
          </w:p>
          <w:p>
            <w:pPr>
              <w:rPr>
                <w:rFonts w:asciiTheme="minorHAnsi" w:hAnsiTheme="minorHAnsi" w:cstheme="minorHAnsi"/>
              </w:rPr>
            </w:pPr>
          </w:p>
          <w:p>
            <w:pPr>
              <w:rPr>
                <w:rFonts w:asciiTheme="minorHAnsi" w:hAnsiTheme="minorHAnsi" w:cstheme="minorHAnsi"/>
              </w:rPr>
            </w:pPr>
            <w:r>
              <w:rPr>
                <w:rFonts w:asciiTheme="minorHAnsi" w:hAnsiTheme="minorHAnsi" w:cstheme="minorHAnsi"/>
              </w:rPr>
              <w:t>The school has a termly revision of the EDI strategy for the school and this importance of this strategy is evidently paramount. This is supplemented by the ‘welcome project’ (focusing on the idea that everyone is welcome in our school) - pupil parliament and anti-bullying are the two teams that primarily contribute to equality in school and minutes of meetings can be found on the website ensuring transparency in relation to this area. Children in all years seemed confident conversing with and engaging with adults (Governors, Head Teacher and Classroom Teachers). Children were enthusiastic and comfortable talking and answering questions, but always raised their hands to respond to questions. This was true from EYFS to year 6. When asked what Miss Woods’ job was, p</w:t>
            </w:r>
            <w:r>
              <w:rPr>
                <w:rFonts w:asciiTheme="minorHAnsi" w:hAnsiTheme="minorHAnsi" w:cstheme="minorHAnsi"/>
                <w:color w:val="000000"/>
                <w:shd w:val="clear" w:color="auto" w:fill="FFFFFF"/>
              </w:rPr>
              <w:t xml:space="preserve">upils were quick to suggest that it was 'to keep us happy and to keep us safe'. </w:t>
            </w:r>
          </w:p>
          <w:p>
            <w:pPr>
              <w:spacing w:before="100" w:beforeAutospacing="1" w:after="100" w:afterAutospacing="1"/>
              <w:rPr>
                <w:rFonts w:asciiTheme="minorHAnsi" w:hAnsiTheme="minorHAnsi" w:cstheme="minorHAnsi"/>
              </w:rPr>
            </w:pPr>
            <w:r>
              <w:rPr>
                <w:rFonts w:asciiTheme="minorHAnsi" w:hAnsiTheme="minorHAnsi" w:cstheme="minorHAnsi"/>
              </w:rPr>
              <w:t xml:space="preserve">Finally, we met Mr Peluso and the year 5 &amp; 6 members of the anti-bullying team and </w:t>
            </w:r>
            <w:r>
              <w:rPr>
                <w:rFonts w:asciiTheme="minorHAnsi" w:hAnsiTheme="minorHAnsi" w:cstheme="minorHAnsi"/>
                <w:color w:val="000000"/>
              </w:rPr>
              <w:t xml:space="preserve">discussed the Anti-bullying Charter Mark which will be renewed this year - considering next steps. The anti-bullying pupils </w:t>
            </w:r>
            <w:r>
              <w:rPr>
                <w:rFonts w:asciiTheme="minorHAnsi" w:hAnsiTheme="minorHAnsi" w:cstheme="minorHAnsi"/>
              </w:rPr>
              <w:t xml:space="preserve">explained ‘Reach Out’ which is the theme for anti-bullying week (due the week after our visit). The children explained odd socks week (modelled by the team and Mr Peluso when we met them) to raise awareness of difference. </w:t>
            </w:r>
            <w:r>
              <w:rPr>
                <w:rFonts w:asciiTheme="minorHAnsi" w:hAnsiTheme="minorHAnsi" w:cstheme="minorHAnsi"/>
                <w:color w:val="000000"/>
                <w:shd w:val="clear" w:color="auto" w:fill="FFFFFF"/>
              </w:rPr>
              <w:t xml:space="preserve">They told us about talk time boxes where pupils could put a note and a member of the anti-bullying team and Mr Peluso would address any problems – this ensures pupil voice even if they want anonymity. Additionally, everyone in the anti-bullying team watches for bullying and will take action to stop it. This half term the theme is ‘peace’ and focusses on showing kindness. There is a playground bench where pupils needing a friend can sit and they will be befriended by someone who sees them. </w:t>
            </w:r>
            <w:r>
              <w:rPr>
                <w:rFonts w:asciiTheme="minorHAnsi" w:hAnsiTheme="minorHAnsi" w:cstheme="minorHAnsi"/>
              </w:rPr>
              <w:t>The year 5 and 6 anti-bullying team also read their presentation that they would be presenting at Collective Worship during anti-bullying week. It included an explanation about what the anti-bullying team does, what to look for regarding bullying, and how to stop it. An excerpt from their presentation included: ‘</w:t>
            </w:r>
            <w:r>
              <w:rPr>
                <w:rFonts w:asciiTheme="minorHAnsi" w:hAnsiTheme="minorHAnsi" w:cstheme="minorHAnsi"/>
                <w:color w:val="000000"/>
              </w:rPr>
              <w:t xml:space="preserve">When we think about PEACE , we must remember that everyone in our school is different and that we like it that way; everyone should be treated equally, no matter what they look like or what they believe in or what challenges they may have in their life’. </w:t>
            </w:r>
            <w:r>
              <w:rPr>
                <w:rFonts w:asciiTheme="minorHAnsi" w:hAnsiTheme="minorHAnsi" w:cstheme="minorHAnsi"/>
              </w:rPr>
              <w:t>There were also two very touching prayers that the children had written themselves, one of these was: ‘Dear God, w</w:t>
            </w:r>
            <w:r>
              <w:rPr>
                <w:rFonts w:asciiTheme="minorHAnsi" w:hAnsiTheme="minorHAnsi" w:cstheme="minorHAnsi"/>
                <w:color w:val="000000"/>
              </w:rPr>
              <w:t>e are sorry for the times we have not treated others kindly and not used encouraging or well thought through words. We ask you to guide us and help us every day to be kinder and to choose our words carefully. Amen’.</w:t>
            </w:r>
            <w:r>
              <w:rPr>
                <w:rFonts w:asciiTheme="minorHAnsi" w:hAnsiTheme="minorHAnsi" w:cstheme="minorHAnsi"/>
              </w:rPr>
              <w:t xml:space="preserve"> To become part of the anti-bullying team, children are democratically voted in - one child described how they write their name down if they are interested, and then there is a blind vote (demonstrating a British democratic system in action). Children then take minutes during sessions and they are posted on to the website for transparency. One of the most striking things throughout this visit in general, was the sheer heartfelt presentation of ideas – the sincerity in what children were saying was clear to see. Anti-bullying is very visibly tied in with school values and culture and can be seen to be exceptionally important to children, teachers and leaders within the school.</w:t>
            </w:r>
          </w:p>
          <w:p>
            <w:pPr>
              <w:spacing w:before="100" w:beforeAutospacing="1" w:after="100" w:afterAutospacing="1"/>
              <w:rPr>
                <w:rFonts w:ascii="Calibri" w:hAnsi="Calibri"/>
              </w:rPr>
            </w:pPr>
          </w:p>
        </w:tc>
      </w:tr>
      <w:tr>
        <w:trPr>
          <w:trHeight w:val="288"/>
        </w:trPr>
        <w:tc>
          <w:tcPr>
            <w:tcW w:w="10314" w:type="dxa"/>
            <w:gridSpan w:val="5"/>
          </w:tcPr>
          <w:p>
            <w:pPr>
              <w:rPr>
                <w:rFonts w:ascii="Calibri" w:hAnsi="Calibri"/>
              </w:rPr>
            </w:pPr>
            <w:r>
              <w:rPr>
                <w:rFonts w:ascii="Calibri" w:hAnsi="Calibri"/>
              </w:rPr>
              <w:lastRenderedPageBreak/>
              <w:t xml:space="preserve">Key Issues/Actions for GB: </w:t>
            </w:r>
          </w:p>
          <w:p>
            <w:pPr>
              <w:rPr>
                <w:rFonts w:ascii="Calibri" w:hAnsi="Calibri"/>
              </w:rPr>
            </w:pPr>
          </w:p>
          <w:p>
            <w:pPr>
              <w:pStyle w:val="ListParagraph"/>
              <w:numPr>
                <w:ilvl w:val="0"/>
                <w:numId w:val="8"/>
              </w:numPr>
              <w:rPr>
                <w:rFonts w:ascii="Calibri" w:hAnsi="Calibri"/>
              </w:rPr>
            </w:pPr>
            <w:r>
              <w:rPr>
                <w:rFonts w:ascii="Calibri" w:hAnsi="Calibri"/>
              </w:rPr>
              <w:t>Consider next steps in relation to the renewal of the Anti-bullying Charter Mark</w:t>
            </w:r>
          </w:p>
          <w:p>
            <w:pPr>
              <w:pStyle w:val="ListParagraph"/>
              <w:numPr>
                <w:ilvl w:val="0"/>
                <w:numId w:val="8"/>
              </w:numPr>
              <w:rPr>
                <w:rFonts w:ascii="Calibri" w:hAnsi="Calibri"/>
              </w:rPr>
            </w:pPr>
            <w:r>
              <w:rPr>
                <w:rFonts w:ascii="Calibri" w:hAnsi="Calibri"/>
              </w:rPr>
              <w:t>Continue to review the school’s EDI strategy on an ongoing basis</w:t>
            </w:r>
          </w:p>
          <w:p>
            <w:pPr>
              <w:rPr>
                <w:rFonts w:ascii="Calibri" w:hAnsi="Calibri"/>
              </w:rPr>
            </w:pPr>
          </w:p>
          <w:p>
            <w:pPr>
              <w:rPr>
                <w:rFonts w:ascii="Calibri" w:hAnsi="Calibri"/>
              </w:rPr>
            </w:pPr>
          </w:p>
        </w:tc>
      </w:tr>
      <w:tr>
        <w:trPr>
          <w:trHeight w:val="288"/>
        </w:trPr>
        <w:tc>
          <w:tcPr>
            <w:tcW w:w="10314" w:type="dxa"/>
            <w:gridSpan w:val="5"/>
          </w:tcPr>
          <w:p>
            <w:pPr>
              <w:rPr>
                <w:rFonts w:ascii="Calibri" w:hAnsi="Calibri"/>
              </w:rPr>
            </w:pPr>
            <w:r>
              <w:rPr>
                <w:rFonts w:ascii="Calibri" w:hAnsi="Calibri"/>
              </w:rPr>
              <w:t>Action agreed in GB meeting with regard to visit:</w:t>
            </w:r>
          </w:p>
          <w:p>
            <w:pPr>
              <w:rPr>
                <w:rFonts w:ascii="Calibri" w:hAnsi="Calibri"/>
              </w:rPr>
            </w:pPr>
          </w:p>
          <w:p>
            <w:pPr>
              <w:rPr>
                <w:rFonts w:ascii="Calibri" w:hAnsi="Calibri"/>
              </w:rPr>
            </w:pPr>
          </w:p>
          <w:p>
            <w:pPr>
              <w:rPr>
                <w:rFonts w:ascii="Calibri" w:hAnsi="Calibri"/>
              </w:rPr>
            </w:pPr>
          </w:p>
        </w:tc>
      </w:tr>
    </w:tbl>
    <w:p>
      <w:pPr>
        <w:rPr>
          <w:rFonts w:ascii="Calibri" w:hAnsi="Calibri"/>
          <w:b/>
          <w:sz w:val="28"/>
          <w:szCs w:val="28"/>
          <w:u w:val="single"/>
        </w:rPr>
      </w:pPr>
    </w:p>
    <w:p/>
    <w:sectPr>
      <w:pgSz w:w="12240" w:h="15840"/>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459A6"/>
    <w:multiLevelType w:val="hybridMultilevel"/>
    <w:tmpl w:val="E19CA20E"/>
    <w:lvl w:ilvl="0" w:tplc="C0B6882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1D22CF"/>
    <w:multiLevelType w:val="multilevel"/>
    <w:tmpl w:val="267A9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D5C06"/>
    <w:multiLevelType w:val="hybridMultilevel"/>
    <w:tmpl w:val="EA460BB8"/>
    <w:lvl w:ilvl="0" w:tplc="F1F01DF0">
      <w:start w:val="202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4B72C7"/>
    <w:multiLevelType w:val="hybridMultilevel"/>
    <w:tmpl w:val="904659EC"/>
    <w:lvl w:ilvl="0" w:tplc="5D6673F2">
      <w:start w:val="202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4377E3"/>
    <w:multiLevelType w:val="multilevel"/>
    <w:tmpl w:val="22347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521706"/>
    <w:multiLevelType w:val="hybridMultilevel"/>
    <w:tmpl w:val="10B2C58E"/>
    <w:lvl w:ilvl="0" w:tplc="68ECB9D0">
      <w:start w:val="202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EF5ECD"/>
    <w:multiLevelType w:val="hybridMultilevel"/>
    <w:tmpl w:val="5C00D6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96354D"/>
    <w:multiLevelType w:val="multilevel"/>
    <w:tmpl w:val="FDAC7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1"/>
  </w:num>
  <w:num w:numId="4">
    <w:abstractNumId w:val="7"/>
  </w:num>
  <w:num w:numId="5">
    <w:abstractNumId w:val="4"/>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4B64A47-EF03-47B4-9E6E-6CB1E1462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919467">
      <w:bodyDiv w:val="1"/>
      <w:marLeft w:val="0"/>
      <w:marRight w:val="0"/>
      <w:marTop w:val="0"/>
      <w:marBottom w:val="0"/>
      <w:divBdr>
        <w:top w:val="none" w:sz="0" w:space="0" w:color="auto"/>
        <w:left w:val="none" w:sz="0" w:space="0" w:color="auto"/>
        <w:bottom w:val="none" w:sz="0" w:space="0" w:color="auto"/>
        <w:right w:val="none" w:sz="0" w:space="0" w:color="auto"/>
      </w:divBdr>
    </w:div>
    <w:div w:id="531261678">
      <w:bodyDiv w:val="1"/>
      <w:marLeft w:val="0"/>
      <w:marRight w:val="0"/>
      <w:marTop w:val="0"/>
      <w:marBottom w:val="0"/>
      <w:divBdr>
        <w:top w:val="none" w:sz="0" w:space="0" w:color="auto"/>
        <w:left w:val="none" w:sz="0" w:space="0" w:color="auto"/>
        <w:bottom w:val="none" w:sz="0" w:space="0" w:color="auto"/>
        <w:right w:val="none" w:sz="0" w:space="0" w:color="auto"/>
      </w:divBdr>
    </w:div>
    <w:div w:id="125790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1613</Words>
  <Characters>9198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Assender</dc:creator>
  <cp:keywords/>
  <dc:description/>
  <cp:lastModifiedBy>Nutfield Church Primary School Office</cp:lastModifiedBy>
  <cp:revision>2</cp:revision>
  <dcterms:created xsi:type="dcterms:W3CDTF">2022-11-22T08:52:00Z</dcterms:created>
  <dcterms:modified xsi:type="dcterms:W3CDTF">2022-11-22T08:52:00Z</dcterms:modified>
</cp:coreProperties>
</file>