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jc w:val="center"/>
        <w:rPr>
          <w:rFonts w:ascii="Calibri" w:hAnsi="Calibri"/>
          <w:b/>
          <w:sz w:val="36"/>
          <w:szCs w:val="36"/>
        </w:rPr>
      </w:pPr>
      <w:bookmarkStart w:id="0" w:name="_GoBack"/>
      <w:bookmarkEnd w:id="0"/>
      <w:r>
        <w:rPr>
          <w:rFonts w:ascii="Calibri" w:hAnsi="Calibri"/>
          <w:b/>
          <w:sz w:val="28"/>
          <w:szCs w:val="28"/>
          <w:u w:val="single"/>
        </w:rPr>
        <w:t>Nutfield Church (C of E) School</w:t>
      </w:r>
    </w:p>
    <w:p>
      <w:pPr>
        <w:jc w:val="center"/>
        <w:rPr>
          <w:rFonts w:ascii="Calibri" w:hAnsi="Calibri"/>
          <w:b/>
          <w:u w:val="single"/>
        </w:rPr>
      </w:pPr>
      <w:r>
        <w:rPr>
          <w:rFonts w:ascii="Calibri" w:hAnsi="Calibri"/>
          <w:b/>
        </w:rPr>
        <w:object w:dxaOrig="8114" w:dyaOrig="94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35pt;height:45.2pt" o:ole="">
            <v:imagedata r:id="rId5" o:title=""/>
          </v:shape>
          <o:OLEObject Type="Embed" ProgID="MSPhotoEd.3" ShapeID="_x0000_i1025" DrawAspect="Content" ObjectID="_1743846772" r:id="rId6"/>
        </w:object>
      </w:r>
    </w:p>
    <w:p>
      <w:pPr>
        <w:jc w:val="center"/>
        <w:rPr>
          <w:rFonts w:ascii="Calibri" w:hAnsi="Calibri"/>
          <w:b/>
          <w:u w:val="single"/>
        </w:rPr>
      </w:pPr>
      <w:r>
        <w:rPr>
          <w:rFonts w:ascii="Calibri" w:hAnsi="Calibri"/>
          <w:b/>
          <w:u w:val="single"/>
        </w:rPr>
        <w:t xml:space="preserve">GOVERNOR MONITORING  </w:t>
      </w:r>
    </w:p>
    <w:p>
      <w:pPr>
        <w:jc w:val="center"/>
        <w:rPr>
          <w:rFonts w:ascii="Calibri" w:hAnsi="Calibri"/>
          <w:b/>
          <w:sz w:val="22"/>
          <w:szCs w:val="22"/>
        </w:rPr>
      </w:pPr>
      <w:r>
        <w:rPr>
          <w:rFonts w:ascii="Calibri" w:hAnsi="Calibri"/>
          <w:b/>
          <w:sz w:val="22"/>
          <w:szCs w:val="22"/>
        </w:rPr>
        <w:t xml:space="preserve">COMMUNITY, PEACE, WISDOM, HOPE, DIGNITY, JOY </w:t>
      </w:r>
    </w:p>
    <w:p>
      <w:pPr>
        <w:rPr>
          <w:rFonts w:ascii="Calibri" w:hAnsi="Calibri"/>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91"/>
        <w:gridCol w:w="2092"/>
        <w:gridCol w:w="2306"/>
        <w:gridCol w:w="2549"/>
        <w:gridCol w:w="2376"/>
      </w:tblGrid>
      <w:tr>
        <w:tc>
          <w:tcPr>
            <w:tcW w:w="5389" w:type="dxa"/>
            <w:gridSpan w:val="3"/>
            <w:tcBorders>
              <w:right w:val="single" w:sz="12" w:space="0" w:color="000000"/>
            </w:tcBorders>
          </w:tcPr>
          <w:p>
            <w:pPr>
              <w:rPr>
                <w:rFonts w:ascii="Calibri" w:hAnsi="Calibri"/>
              </w:rPr>
            </w:pPr>
            <w:r>
              <w:rPr>
                <w:rFonts w:ascii="Calibri" w:hAnsi="Calibri"/>
              </w:rPr>
              <w:t xml:space="preserve">Name of Governor: </w:t>
            </w:r>
          </w:p>
          <w:p>
            <w:pPr>
              <w:rPr>
                <w:rFonts w:ascii="Calibri" w:hAnsi="Calibri"/>
              </w:rPr>
            </w:pPr>
            <w:r>
              <w:rPr>
                <w:rFonts w:ascii="Calibri" w:hAnsi="Calibri"/>
              </w:rPr>
              <w:t>Kristy Armer and Jane Vorster</w:t>
            </w:r>
          </w:p>
        </w:tc>
        <w:tc>
          <w:tcPr>
            <w:tcW w:w="4925" w:type="dxa"/>
            <w:gridSpan w:val="2"/>
            <w:tcBorders>
              <w:left w:val="single" w:sz="12" w:space="0" w:color="000000"/>
            </w:tcBorders>
          </w:tcPr>
          <w:p>
            <w:pPr>
              <w:rPr>
                <w:rFonts w:ascii="Calibri" w:hAnsi="Calibri"/>
              </w:rPr>
            </w:pPr>
            <w:r>
              <w:rPr>
                <w:rFonts w:ascii="Calibri" w:hAnsi="Calibri"/>
              </w:rPr>
              <w:t>Date: 29 March 2023</w:t>
            </w:r>
          </w:p>
        </w:tc>
      </w:tr>
      <w:tr>
        <w:trPr>
          <w:trHeight w:val="391"/>
        </w:trPr>
        <w:tc>
          <w:tcPr>
            <w:tcW w:w="10314" w:type="dxa"/>
            <w:gridSpan w:val="5"/>
            <w:tcBorders>
              <w:bottom w:val="single" w:sz="4" w:space="0" w:color="000000"/>
            </w:tcBorders>
          </w:tcPr>
          <w:p>
            <w:pPr>
              <w:rPr>
                <w:rFonts w:ascii="Calibri" w:hAnsi="Calibri"/>
              </w:rPr>
            </w:pPr>
            <w:r>
              <w:rPr>
                <w:rFonts w:ascii="Calibri" w:hAnsi="Calibri"/>
              </w:rPr>
              <w:t>Focus Area(s):  Quality of Education</w:t>
            </w:r>
          </w:p>
        </w:tc>
      </w:tr>
      <w:tr>
        <w:trPr>
          <w:trHeight w:val="292"/>
        </w:trPr>
        <w:tc>
          <w:tcPr>
            <w:tcW w:w="991" w:type="dxa"/>
            <w:tcBorders>
              <w:top w:val="single" w:sz="12" w:space="0" w:color="000000"/>
              <w:right w:val="single" w:sz="12" w:space="0" w:color="000000"/>
            </w:tcBorders>
          </w:tcPr>
          <w:p>
            <w:pPr>
              <w:rPr>
                <w:rFonts w:ascii="Calibri" w:hAnsi="Calibri"/>
                <w:b/>
              </w:rPr>
            </w:pPr>
            <w:r>
              <w:rPr>
                <w:rFonts w:ascii="Calibri" w:hAnsi="Calibri"/>
                <w:b/>
              </w:rPr>
              <w:t>SIAMS</w:t>
            </w:r>
          </w:p>
        </w:tc>
        <w:tc>
          <w:tcPr>
            <w:tcW w:w="2092" w:type="dxa"/>
            <w:shd w:val="clear" w:color="auto" w:fill="auto"/>
          </w:tcPr>
          <w:p>
            <w:pPr>
              <w:rPr>
                <w:rFonts w:ascii="Calibri" w:hAnsi="Calibri"/>
                <w:sz w:val="22"/>
                <w:szCs w:val="22"/>
              </w:rPr>
            </w:pPr>
            <w:r>
              <w:rPr>
                <w:rFonts w:ascii="Calibri" w:hAnsi="Calibri"/>
                <w:sz w:val="22"/>
                <w:szCs w:val="22"/>
              </w:rPr>
              <w:t>Vision and Leadership</w:t>
            </w:r>
          </w:p>
        </w:tc>
        <w:tc>
          <w:tcPr>
            <w:tcW w:w="2306" w:type="dxa"/>
            <w:shd w:val="clear" w:color="auto" w:fill="auto"/>
          </w:tcPr>
          <w:p>
            <w:pPr>
              <w:rPr>
                <w:rFonts w:ascii="Calibri" w:hAnsi="Calibri"/>
                <w:sz w:val="22"/>
                <w:szCs w:val="22"/>
              </w:rPr>
            </w:pPr>
            <w:r>
              <w:rPr>
                <w:rFonts w:ascii="Calibri" w:hAnsi="Calibri"/>
                <w:sz w:val="22"/>
                <w:szCs w:val="22"/>
              </w:rPr>
              <w:t>Wisdom, Knowledge and Skills</w:t>
            </w:r>
          </w:p>
        </w:tc>
        <w:tc>
          <w:tcPr>
            <w:tcW w:w="2549" w:type="dxa"/>
            <w:shd w:val="clear" w:color="auto" w:fill="auto"/>
          </w:tcPr>
          <w:p>
            <w:pPr>
              <w:rPr>
                <w:rFonts w:ascii="Calibri" w:hAnsi="Calibri"/>
                <w:sz w:val="22"/>
                <w:szCs w:val="22"/>
              </w:rPr>
            </w:pPr>
            <w:r>
              <w:rPr>
                <w:rFonts w:ascii="Calibri" w:hAnsi="Calibri"/>
                <w:sz w:val="22"/>
                <w:szCs w:val="22"/>
              </w:rPr>
              <w:t>Character Development</w:t>
            </w:r>
          </w:p>
        </w:tc>
        <w:tc>
          <w:tcPr>
            <w:tcW w:w="2376" w:type="dxa"/>
            <w:shd w:val="clear" w:color="auto" w:fill="auto"/>
          </w:tcPr>
          <w:p>
            <w:pPr>
              <w:rPr>
                <w:rFonts w:ascii="Calibri" w:hAnsi="Calibri"/>
                <w:sz w:val="22"/>
                <w:szCs w:val="22"/>
              </w:rPr>
            </w:pPr>
            <w:r>
              <w:rPr>
                <w:rFonts w:ascii="Calibri" w:hAnsi="Calibri"/>
                <w:sz w:val="22"/>
                <w:szCs w:val="22"/>
              </w:rPr>
              <w:t>Community and Living Well Together</w:t>
            </w:r>
          </w:p>
        </w:tc>
      </w:tr>
      <w:tr>
        <w:trPr>
          <w:trHeight w:val="292"/>
        </w:trPr>
        <w:tc>
          <w:tcPr>
            <w:tcW w:w="991" w:type="dxa"/>
            <w:tcBorders>
              <w:top w:val="single" w:sz="12" w:space="0" w:color="000000"/>
              <w:right w:val="single" w:sz="12" w:space="0" w:color="000000"/>
            </w:tcBorders>
          </w:tcPr>
          <w:p>
            <w:pPr>
              <w:rPr>
                <w:rFonts w:ascii="Calibri" w:hAnsi="Calibri"/>
                <w:b/>
              </w:rPr>
            </w:pPr>
          </w:p>
        </w:tc>
        <w:tc>
          <w:tcPr>
            <w:tcW w:w="2092" w:type="dxa"/>
            <w:shd w:val="clear" w:color="auto" w:fill="auto"/>
          </w:tcPr>
          <w:p>
            <w:pPr>
              <w:rPr>
                <w:rFonts w:ascii="Calibri" w:hAnsi="Calibri"/>
                <w:sz w:val="22"/>
                <w:szCs w:val="22"/>
              </w:rPr>
            </w:pPr>
            <w:r>
              <w:rPr>
                <w:rFonts w:ascii="Calibri" w:hAnsi="Calibri"/>
                <w:sz w:val="22"/>
                <w:szCs w:val="22"/>
              </w:rPr>
              <w:t>Dignity and Respect</w:t>
            </w:r>
          </w:p>
        </w:tc>
        <w:tc>
          <w:tcPr>
            <w:tcW w:w="2306" w:type="dxa"/>
            <w:shd w:val="clear" w:color="auto" w:fill="auto"/>
          </w:tcPr>
          <w:p>
            <w:pPr>
              <w:rPr>
                <w:rFonts w:ascii="Calibri" w:hAnsi="Calibri"/>
                <w:sz w:val="22"/>
                <w:szCs w:val="22"/>
              </w:rPr>
            </w:pPr>
            <w:r>
              <w:rPr>
                <w:rFonts w:ascii="Calibri" w:hAnsi="Calibri"/>
                <w:sz w:val="22"/>
                <w:szCs w:val="22"/>
              </w:rPr>
              <w:t>Collective Worship</w:t>
            </w:r>
          </w:p>
        </w:tc>
        <w:tc>
          <w:tcPr>
            <w:tcW w:w="2549" w:type="dxa"/>
            <w:shd w:val="clear" w:color="auto" w:fill="auto"/>
          </w:tcPr>
          <w:p>
            <w:pPr>
              <w:rPr>
                <w:rFonts w:ascii="Calibri" w:hAnsi="Calibri"/>
                <w:sz w:val="22"/>
                <w:szCs w:val="22"/>
              </w:rPr>
            </w:pPr>
            <w:r>
              <w:rPr>
                <w:rFonts w:ascii="Calibri" w:hAnsi="Calibri"/>
                <w:sz w:val="22"/>
                <w:szCs w:val="22"/>
              </w:rPr>
              <w:t>Religious Education</w:t>
            </w:r>
          </w:p>
        </w:tc>
        <w:tc>
          <w:tcPr>
            <w:tcW w:w="2376" w:type="dxa"/>
            <w:shd w:val="clear" w:color="auto" w:fill="auto"/>
          </w:tcPr>
          <w:p>
            <w:pPr>
              <w:rPr>
                <w:rFonts w:ascii="Calibri" w:hAnsi="Calibri"/>
                <w:sz w:val="22"/>
                <w:szCs w:val="22"/>
              </w:rPr>
            </w:pPr>
          </w:p>
        </w:tc>
      </w:tr>
      <w:tr>
        <w:trPr>
          <w:trHeight w:val="292"/>
        </w:trPr>
        <w:tc>
          <w:tcPr>
            <w:tcW w:w="991" w:type="dxa"/>
            <w:tcBorders>
              <w:top w:val="single" w:sz="12" w:space="0" w:color="000000"/>
              <w:right w:val="single" w:sz="12" w:space="0" w:color="000000"/>
            </w:tcBorders>
          </w:tcPr>
          <w:p>
            <w:pPr>
              <w:rPr>
                <w:rFonts w:ascii="Calibri" w:hAnsi="Calibri"/>
                <w:b/>
              </w:rPr>
            </w:pPr>
            <w:r>
              <w:rPr>
                <w:rFonts w:ascii="Calibri" w:hAnsi="Calibri"/>
                <w:b/>
              </w:rPr>
              <w:t>OFSTED</w:t>
            </w:r>
          </w:p>
        </w:tc>
        <w:tc>
          <w:tcPr>
            <w:tcW w:w="2092" w:type="dxa"/>
            <w:shd w:val="clear" w:color="auto" w:fill="auto"/>
          </w:tcPr>
          <w:p>
            <w:pPr>
              <w:rPr>
                <w:rFonts w:ascii="Calibri" w:hAnsi="Calibri"/>
                <w:sz w:val="22"/>
                <w:szCs w:val="22"/>
              </w:rPr>
            </w:pPr>
            <w:r>
              <w:rPr>
                <w:rFonts w:ascii="Calibri" w:hAnsi="Calibri"/>
                <w:sz w:val="22"/>
                <w:szCs w:val="22"/>
                <w:highlight w:val="cyan"/>
              </w:rPr>
              <w:t>Quality of Education</w:t>
            </w:r>
            <w:r>
              <w:rPr>
                <w:rFonts w:ascii="Calibri" w:hAnsi="Calibri"/>
                <w:sz w:val="22"/>
                <w:szCs w:val="22"/>
              </w:rPr>
              <w:t xml:space="preserve"> </w:t>
            </w:r>
          </w:p>
        </w:tc>
        <w:tc>
          <w:tcPr>
            <w:tcW w:w="2306" w:type="dxa"/>
            <w:shd w:val="clear" w:color="auto" w:fill="auto"/>
          </w:tcPr>
          <w:p>
            <w:pPr>
              <w:rPr>
                <w:rFonts w:ascii="Calibri" w:hAnsi="Calibri"/>
                <w:sz w:val="22"/>
                <w:szCs w:val="22"/>
              </w:rPr>
            </w:pPr>
            <w:proofErr w:type="spellStart"/>
            <w:r>
              <w:rPr>
                <w:rFonts w:ascii="Calibri" w:hAnsi="Calibri"/>
                <w:sz w:val="22"/>
                <w:szCs w:val="22"/>
              </w:rPr>
              <w:t>Behaviour</w:t>
            </w:r>
            <w:proofErr w:type="spellEnd"/>
            <w:r>
              <w:rPr>
                <w:rFonts w:ascii="Calibri" w:hAnsi="Calibri"/>
                <w:sz w:val="22"/>
                <w:szCs w:val="22"/>
              </w:rPr>
              <w:t xml:space="preserve"> and Attitudes </w:t>
            </w:r>
          </w:p>
        </w:tc>
        <w:tc>
          <w:tcPr>
            <w:tcW w:w="2549" w:type="dxa"/>
            <w:shd w:val="clear" w:color="auto" w:fill="auto"/>
          </w:tcPr>
          <w:p>
            <w:pPr>
              <w:rPr>
                <w:rFonts w:ascii="Calibri" w:hAnsi="Calibri"/>
                <w:sz w:val="22"/>
                <w:szCs w:val="22"/>
              </w:rPr>
            </w:pPr>
            <w:r>
              <w:rPr>
                <w:rFonts w:ascii="Calibri" w:hAnsi="Calibri"/>
                <w:sz w:val="22"/>
                <w:szCs w:val="22"/>
              </w:rPr>
              <w:t xml:space="preserve">Personal Development </w:t>
            </w:r>
          </w:p>
        </w:tc>
        <w:tc>
          <w:tcPr>
            <w:tcW w:w="2376" w:type="dxa"/>
            <w:shd w:val="clear" w:color="auto" w:fill="auto"/>
          </w:tcPr>
          <w:p>
            <w:pPr>
              <w:rPr>
                <w:rFonts w:ascii="Calibri" w:hAnsi="Calibri"/>
                <w:sz w:val="22"/>
                <w:szCs w:val="22"/>
              </w:rPr>
            </w:pPr>
            <w:r>
              <w:rPr>
                <w:rFonts w:ascii="Calibri" w:hAnsi="Calibri"/>
                <w:sz w:val="22"/>
                <w:szCs w:val="22"/>
              </w:rPr>
              <w:t xml:space="preserve">Leadership and Management </w:t>
            </w:r>
          </w:p>
        </w:tc>
      </w:tr>
      <w:tr>
        <w:trPr>
          <w:trHeight w:val="288"/>
        </w:trPr>
        <w:tc>
          <w:tcPr>
            <w:tcW w:w="10314" w:type="dxa"/>
            <w:gridSpan w:val="5"/>
          </w:tcPr>
          <w:p>
            <w:pPr>
              <w:rPr>
                <w:rFonts w:ascii="Calibri" w:hAnsi="Calibri"/>
              </w:rPr>
            </w:pPr>
            <w:r>
              <w:rPr>
                <w:rFonts w:ascii="Calibri" w:hAnsi="Calibri"/>
              </w:rPr>
              <w:t>Any safeguarding Issues: None</w:t>
            </w:r>
          </w:p>
        </w:tc>
      </w:tr>
      <w:tr>
        <w:trPr>
          <w:trHeight w:val="288"/>
        </w:trPr>
        <w:tc>
          <w:tcPr>
            <w:tcW w:w="10314" w:type="dxa"/>
            <w:gridSpan w:val="5"/>
          </w:tcPr>
          <w:p>
            <w:pPr>
              <w:rPr>
                <w:rFonts w:ascii="Calibri" w:hAnsi="Calibri"/>
              </w:rPr>
            </w:pPr>
            <w:r>
              <w:rPr>
                <w:rFonts w:ascii="Calibri" w:hAnsi="Calibri"/>
              </w:rPr>
              <w:t>Governor comments:</w:t>
            </w:r>
          </w:p>
          <w:p>
            <w:pPr>
              <w:rPr>
                <w:rFonts w:ascii="Calibri" w:hAnsi="Calibri"/>
              </w:rPr>
            </w:pPr>
          </w:p>
          <w:p>
            <w:pPr>
              <w:rPr>
                <w:rFonts w:ascii="Calibri" w:hAnsi="Calibri"/>
              </w:rPr>
            </w:pPr>
            <w:r>
              <w:rPr>
                <w:rFonts w:ascii="Calibri" w:hAnsi="Calibri"/>
              </w:rPr>
              <w:t>Miss Mitchell chaired the meeting and presented the Spring Term assessment data, which was cross referenced with the SDP 3 year plan. The Outcomes section of the SDP describes a 3 year plan which is specifically targeted at ensuring that no pupil is left behind after the school closures of 2019-20 and 2020-21.</w:t>
            </w:r>
          </w:p>
          <w:p>
            <w:pPr>
              <w:rPr>
                <w:rFonts w:ascii="Calibri" w:hAnsi="Calibri"/>
              </w:rPr>
            </w:pPr>
          </w:p>
          <w:p>
            <w:pPr>
              <w:rPr>
                <w:rFonts w:ascii="Calibri" w:hAnsi="Calibri"/>
              </w:rPr>
            </w:pPr>
            <w:r>
              <w:rPr>
                <w:rFonts w:ascii="Calibri" w:hAnsi="Calibri"/>
              </w:rPr>
              <w:t>The data pack provides clear and accessible information and shows the progress in the core subjects throughout the school. The analysis of each year group provides information on the performance of pupils in the following groups; SEN, DP, EAL and GD and, as such, is invaluable in checking progress across the board. There is a rigorous approach to assessment and the implementation of strategies where necessary. We were impressed by the detailed knowledge of individual pupils and their impact on the data. We note that a pupil might make progress but this may not translate into an increased level of progress, therefore it will not be reflected in the data.</w:t>
            </w:r>
          </w:p>
          <w:p>
            <w:pPr>
              <w:rPr>
                <w:rFonts w:ascii="Calibri" w:hAnsi="Calibri"/>
              </w:rPr>
            </w:pPr>
          </w:p>
          <w:p>
            <w:pPr>
              <w:rPr>
                <w:rFonts w:ascii="Calibri" w:hAnsi="Calibri"/>
              </w:rPr>
            </w:pPr>
            <w:r>
              <w:rPr>
                <w:rFonts w:ascii="Calibri" w:hAnsi="Calibri"/>
              </w:rPr>
              <w:t>In order to check progress against outcomes, pupils are assessed 4 times during the year, once in September and then once each term. The assessments in Years 2 and 6 are SATs papers.</w:t>
            </w:r>
          </w:p>
          <w:p>
            <w:pPr>
              <w:rPr>
                <w:rFonts w:ascii="Calibri" w:hAnsi="Calibri"/>
              </w:rPr>
            </w:pPr>
          </w:p>
          <w:p>
            <w:pPr>
              <w:rPr>
                <w:rFonts w:ascii="Calibri" w:hAnsi="Calibri"/>
              </w:rPr>
            </w:pPr>
            <w:r>
              <w:rPr>
                <w:rFonts w:ascii="Calibri" w:hAnsi="Calibri"/>
              </w:rPr>
              <w:t>The Writing assessments are now based on three different pieces of writing.</w:t>
            </w:r>
          </w:p>
          <w:p>
            <w:pPr>
              <w:rPr>
                <w:rFonts w:ascii="Calibri" w:hAnsi="Calibri"/>
              </w:rPr>
            </w:pPr>
          </w:p>
          <w:p>
            <w:pPr>
              <w:rPr>
                <w:rFonts w:ascii="Calibri" w:hAnsi="Calibri"/>
              </w:rPr>
            </w:pPr>
            <w:r>
              <w:rPr>
                <w:rFonts w:ascii="Calibri" w:hAnsi="Calibri"/>
              </w:rPr>
              <w:t>SDP targets will be included in the data pack review.</w:t>
            </w:r>
          </w:p>
          <w:p>
            <w:pPr>
              <w:rPr>
                <w:rFonts w:ascii="Calibri" w:hAnsi="Calibri"/>
              </w:rPr>
            </w:pPr>
          </w:p>
          <w:p>
            <w:pPr>
              <w:rPr>
                <w:rFonts w:ascii="Calibri" w:hAnsi="Calibri"/>
              </w:rPr>
            </w:pPr>
            <w:r>
              <w:rPr>
                <w:rFonts w:ascii="Calibri" w:hAnsi="Calibri"/>
              </w:rPr>
              <w:t xml:space="preserve">The RE data shows a consistently strong performance across KS1 and KS2, with a significant number of pupils exceeding national expectations. The national average for EXS in Reading Writing and </w:t>
            </w:r>
            <w:proofErr w:type="spellStart"/>
            <w:r>
              <w:rPr>
                <w:rFonts w:ascii="Calibri" w:hAnsi="Calibri"/>
              </w:rPr>
              <w:t>Maths</w:t>
            </w:r>
            <w:proofErr w:type="spellEnd"/>
            <w:r>
              <w:rPr>
                <w:rFonts w:ascii="Calibri" w:hAnsi="Calibri"/>
              </w:rPr>
              <w:t xml:space="preserve"> is 65%, in Year 6 85% of pupils are working at EXS or better in RE. These are excellent results and reflect the commitment of NCPS and teachers to the teaching of RE.</w:t>
            </w:r>
          </w:p>
          <w:p>
            <w:pPr>
              <w:rPr>
                <w:rFonts w:ascii="Calibri" w:hAnsi="Calibri"/>
              </w:rPr>
            </w:pPr>
          </w:p>
          <w:p>
            <w:pPr>
              <w:rPr>
                <w:rFonts w:ascii="Calibri" w:hAnsi="Calibri"/>
              </w:rPr>
            </w:pPr>
            <w:r>
              <w:rPr>
                <w:rFonts w:ascii="Calibri" w:hAnsi="Calibri"/>
              </w:rPr>
              <w:t>EYFS  - the SDP target is 90% GLD. This target has been met.</w:t>
            </w:r>
          </w:p>
          <w:p>
            <w:pPr>
              <w:rPr>
                <w:rFonts w:ascii="Calibri" w:hAnsi="Calibri"/>
              </w:rPr>
            </w:pPr>
            <w:r>
              <w:rPr>
                <w:rFonts w:ascii="Calibri" w:hAnsi="Calibri"/>
              </w:rPr>
              <w:t xml:space="preserve">Year 1 – SDP target is 100% GLD, this target has been met with the exception of 1 pupil who is in the DP group. 82 – 89% of pupils have made at least 1 point of progress in Reading, Writing and </w:t>
            </w:r>
            <w:proofErr w:type="spellStart"/>
            <w:r>
              <w:rPr>
                <w:rFonts w:ascii="Calibri" w:hAnsi="Calibri"/>
              </w:rPr>
              <w:t>Maths</w:t>
            </w:r>
            <w:proofErr w:type="spellEnd"/>
            <w:r>
              <w:rPr>
                <w:rFonts w:ascii="Calibri" w:hAnsi="Calibri"/>
              </w:rPr>
              <w:t>.</w:t>
            </w:r>
          </w:p>
          <w:p>
            <w:pPr>
              <w:rPr>
                <w:rFonts w:ascii="Calibri" w:hAnsi="Calibri"/>
              </w:rPr>
            </w:pPr>
            <w:r>
              <w:rPr>
                <w:rFonts w:ascii="Calibri" w:hAnsi="Calibri"/>
              </w:rPr>
              <w:t xml:space="preserve">Year 2 – SDP target is 90% EXS/EXS+. 100% of pupils have made at least 1 point of progress in Reading, Writing and </w:t>
            </w:r>
            <w:proofErr w:type="spellStart"/>
            <w:r>
              <w:rPr>
                <w:rFonts w:ascii="Calibri" w:hAnsi="Calibri"/>
              </w:rPr>
              <w:t>Maths</w:t>
            </w:r>
            <w:proofErr w:type="spellEnd"/>
            <w:r>
              <w:rPr>
                <w:rFonts w:ascii="Calibri" w:hAnsi="Calibri"/>
              </w:rPr>
              <w:t xml:space="preserve"> since the last assessment, but the 90% EXS target has not been reached, it is on track to be met by the end of the academic year. Year 2 assessments were from a SATS paper using scaled scores. The numbers for GD are lower than expected. The assessments were conducted during a </w:t>
            </w:r>
            <w:r>
              <w:rPr>
                <w:rFonts w:ascii="Calibri" w:hAnsi="Calibri"/>
              </w:rPr>
              <w:lastRenderedPageBreak/>
              <w:t>chicken pox outbreak and a number of children were under par. A new pupil has joined the class and is at WTS. SATS are in May.</w:t>
            </w:r>
          </w:p>
          <w:p>
            <w:pPr>
              <w:rPr>
                <w:rFonts w:ascii="Calibri" w:hAnsi="Calibri"/>
              </w:rPr>
            </w:pPr>
            <w:r>
              <w:rPr>
                <w:rFonts w:ascii="Calibri" w:hAnsi="Calibri"/>
              </w:rPr>
              <w:t xml:space="preserve">Year 3 – SDP target is for 90% to meet the end of year 3 objectives by July. The number of pupils working at EXS has increased with </w:t>
            </w:r>
            <w:proofErr w:type="spellStart"/>
            <w:r>
              <w:rPr>
                <w:rFonts w:ascii="Calibri" w:hAnsi="Calibri"/>
              </w:rPr>
              <w:t>Maths</w:t>
            </w:r>
            <w:proofErr w:type="spellEnd"/>
            <w:r>
              <w:rPr>
                <w:rFonts w:ascii="Calibri" w:hAnsi="Calibri"/>
              </w:rPr>
              <w:t xml:space="preserve"> results showing a marked increase The end of target for GD has been met in Reading and </w:t>
            </w:r>
            <w:proofErr w:type="spellStart"/>
            <w:r>
              <w:rPr>
                <w:rFonts w:ascii="Calibri" w:hAnsi="Calibri"/>
              </w:rPr>
              <w:t>Maths</w:t>
            </w:r>
            <w:proofErr w:type="spellEnd"/>
            <w:r>
              <w:rPr>
                <w:rFonts w:ascii="Calibri" w:hAnsi="Calibri"/>
              </w:rPr>
              <w:t xml:space="preserve">. In Reading, all pupils in SEN and DP groups have made at least 1 point of progress, similarly 96% in Writing and 93% in </w:t>
            </w:r>
            <w:proofErr w:type="spellStart"/>
            <w:r>
              <w:rPr>
                <w:rFonts w:ascii="Calibri" w:hAnsi="Calibri"/>
              </w:rPr>
              <w:t>Maths</w:t>
            </w:r>
            <w:proofErr w:type="spellEnd"/>
            <w:r>
              <w:rPr>
                <w:rFonts w:ascii="Calibri" w:hAnsi="Calibri"/>
              </w:rPr>
              <w:t>. One pupil has been added to the SEN register.</w:t>
            </w:r>
          </w:p>
          <w:p>
            <w:pPr>
              <w:rPr>
                <w:rFonts w:ascii="Calibri" w:hAnsi="Calibri"/>
              </w:rPr>
            </w:pPr>
            <w:r>
              <w:rPr>
                <w:rFonts w:ascii="Calibri" w:hAnsi="Calibri"/>
              </w:rPr>
              <w:t xml:space="preserve">Year 4 – SDP target is 87% of pupils to meet the end of year objectives in Reading and Writing and 90% in </w:t>
            </w:r>
            <w:proofErr w:type="spellStart"/>
            <w:r>
              <w:rPr>
                <w:rFonts w:ascii="Calibri" w:hAnsi="Calibri"/>
              </w:rPr>
              <w:t>Maths</w:t>
            </w:r>
            <w:proofErr w:type="spellEnd"/>
            <w:r>
              <w:rPr>
                <w:rFonts w:ascii="Calibri" w:hAnsi="Calibri"/>
              </w:rPr>
              <w:t xml:space="preserve">, by the end of the year. There is a high incidence of health and social issues in Year 4. There has been a marked improvement of pupils working at EXS since the last assessment, but a concern that the end of year targets may be at risk, particularly in </w:t>
            </w:r>
            <w:proofErr w:type="spellStart"/>
            <w:r>
              <w:rPr>
                <w:rFonts w:ascii="Calibri" w:hAnsi="Calibri"/>
              </w:rPr>
              <w:t>Maths</w:t>
            </w:r>
            <w:proofErr w:type="spellEnd"/>
            <w:r>
              <w:rPr>
                <w:rFonts w:ascii="Calibri" w:hAnsi="Calibri"/>
              </w:rPr>
              <w:t xml:space="preserve">. The </w:t>
            </w:r>
            <w:proofErr w:type="spellStart"/>
            <w:r>
              <w:rPr>
                <w:rFonts w:ascii="Calibri" w:hAnsi="Calibri"/>
              </w:rPr>
              <w:t>Maths</w:t>
            </w:r>
            <w:proofErr w:type="spellEnd"/>
            <w:r>
              <w:rPr>
                <w:rFonts w:ascii="Calibri" w:hAnsi="Calibri"/>
              </w:rPr>
              <w:t xml:space="preserve"> lead teacher has </w:t>
            </w:r>
            <w:proofErr w:type="spellStart"/>
            <w:r>
              <w:rPr>
                <w:rFonts w:ascii="Calibri" w:hAnsi="Calibri"/>
              </w:rPr>
              <w:t>analysed</w:t>
            </w:r>
            <w:proofErr w:type="spellEnd"/>
            <w:r>
              <w:rPr>
                <w:rFonts w:ascii="Calibri" w:hAnsi="Calibri"/>
              </w:rPr>
              <w:t xml:space="preserve"> all the test papers and has identified a lower performance in reasoning. A focus on reasoning has been put in place including using lesson starters. Parents have been involved with the use of online resources. There will be an additional assessment in May and a new action plan. This class includes 3 EAL pupils.</w:t>
            </w:r>
          </w:p>
          <w:p>
            <w:pPr>
              <w:rPr>
                <w:rFonts w:ascii="Calibri" w:hAnsi="Calibri"/>
              </w:rPr>
            </w:pPr>
            <w:r>
              <w:rPr>
                <w:rFonts w:ascii="Calibri" w:hAnsi="Calibri"/>
              </w:rPr>
              <w:t xml:space="preserve">Year 5 – SDP target is 87% of pupils to meet end of year objectives. The spring data shows that the percentage of pupils working at EXS or above has increased in all three areas assessed areas. The percentage of pupils at GD in Writing and </w:t>
            </w:r>
            <w:proofErr w:type="spellStart"/>
            <w:r>
              <w:rPr>
                <w:rFonts w:ascii="Calibri" w:hAnsi="Calibri"/>
              </w:rPr>
              <w:t>Maths</w:t>
            </w:r>
            <w:proofErr w:type="spellEnd"/>
            <w:r>
              <w:rPr>
                <w:rFonts w:ascii="Calibri" w:hAnsi="Calibri"/>
              </w:rPr>
              <w:t xml:space="preserve"> is low if end of year targets are to be met. There is one new pupil who is on the SEN register. An EHCP application has been started for one pupil. One pupil with very low attendance now has improved attendance.</w:t>
            </w:r>
          </w:p>
          <w:p>
            <w:pPr>
              <w:rPr>
                <w:rFonts w:ascii="Calibri" w:hAnsi="Calibri"/>
              </w:rPr>
            </w:pPr>
            <w:r>
              <w:rPr>
                <w:rFonts w:ascii="Calibri" w:hAnsi="Calibri"/>
              </w:rPr>
              <w:t xml:space="preserve">Year 6 – SDP target is for 85% of pupils to meet EXS in Reading, Writing and </w:t>
            </w:r>
            <w:proofErr w:type="spellStart"/>
            <w:r>
              <w:rPr>
                <w:rFonts w:ascii="Calibri" w:hAnsi="Calibri"/>
              </w:rPr>
              <w:t>Maths</w:t>
            </w:r>
            <w:proofErr w:type="spellEnd"/>
            <w:r>
              <w:rPr>
                <w:rFonts w:ascii="Calibri" w:hAnsi="Calibri"/>
              </w:rPr>
              <w:t>. There has been a significant improvement in performance at EXS since the September assessment. At present, the average of the three core areas is 81% against a target of 85%. One EAL pupil has arrived recently otherwise the target would have been met. The number of pupils working at GD has not yet reached the end of year target but the percentage is increasing. There is an additional pupil on the SEN register.</w:t>
            </w:r>
          </w:p>
          <w:p>
            <w:pPr>
              <w:rPr>
                <w:rFonts w:ascii="Calibri" w:hAnsi="Calibri"/>
              </w:rPr>
            </w:pPr>
          </w:p>
          <w:p>
            <w:pPr>
              <w:rPr>
                <w:rFonts w:ascii="Calibri" w:hAnsi="Calibri"/>
              </w:rPr>
            </w:pPr>
            <w:r>
              <w:rPr>
                <w:rFonts w:ascii="Calibri" w:hAnsi="Calibri"/>
              </w:rPr>
              <w:t>Pupils working at GD were tracked to ensure they are making progress at the same rate. 100% of Year 6 pupils who were identified as GD in KS2 SATs are currently GD in all three core subjects.</w:t>
            </w:r>
          </w:p>
          <w:p>
            <w:pPr>
              <w:rPr>
                <w:rFonts w:ascii="Calibri" w:hAnsi="Calibri"/>
              </w:rPr>
            </w:pPr>
          </w:p>
          <w:p>
            <w:pPr>
              <w:rPr>
                <w:rFonts w:ascii="Calibri" w:hAnsi="Calibri"/>
              </w:rPr>
            </w:pPr>
          </w:p>
          <w:p>
            <w:pPr>
              <w:rPr>
                <w:rFonts w:ascii="Calibri" w:hAnsi="Calibri"/>
              </w:rPr>
            </w:pPr>
          </w:p>
        </w:tc>
      </w:tr>
      <w:tr>
        <w:trPr>
          <w:trHeight w:val="288"/>
        </w:trPr>
        <w:tc>
          <w:tcPr>
            <w:tcW w:w="10314" w:type="dxa"/>
            <w:gridSpan w:val="5"/>
          </w:tcPr>
          <w:p>
            <w:pPr>
              <w:rPr>
                <w:rFonts w:ascii="Calibri" w:hAnsi="Calibri"/>
              </w:rPr>
            </w:pPr>
            <w:r>
              <w:rPr>
                <w:rFonts w:ascii="Calibri" w:hAnsi="Calibri"/>
              </w:rPr>
              <w:lastRenderedPageBreak/>
              <w:t xml:space="preserve">Key Issues/Actions for GB: </w:t>
            </w:r>
          </w:p>
          <w:p>
            <w:pPr>
              <w:pStyle w:val="ListParagraph"/>
              <w:numPr>
                <w:ilvl w:val="0"/>
                <w:numId w:val="1"/>
              </w:numPr>
              <w:rPr>
                <w:rFonts w:ascii="Calibri" w:hAnsi="Calibri"/>
              </w:rPr>
            </w:pPr>
            <w:r>
              <w:rPr>
                <w:rFonts w:ascii="Calibri" w:hAnsi="Calibri"/>
              </w:rPr>
              <w:t xml:space="preserve">Year </w:t>
            </w:r>
            <w:proofErr w:type="gramStart"/>
            <w:r>
              <w:rPr>
                <w:rFonts w:ascii="Calibri" w:hAnsi="Calibri"/>
              </w:rPr>
              <w:t>4  -</w:t>
            </w:r>
            <w:proofErr w:type="gramEnd"/>
            <w:r>
              <w:rPr>
                <w:rFonts w:ascii="Calibri" w:hAnsi="Calibri"/>
              </w:rPr>
              <w:t xml:space="preserve"> since the Autumn monitoring there has been a marked improvement in the number of pupils at EXS. Parents have been encouraged to use online </w:t>
            </w:r>
            <w:proofErr w:type="spellStart"/>
            <w:r>
              <w:rPr>
                <w:rFonts w:ascii="Calibri" w:hAnsi="Calibri"/>
              </w:rPr>
              <w:t>Maths</w:t>
            </w:r>
            <w:proofErr w:type="spellEnd"/>
            <w:r>
              <w:rPr>
                <w:rFonts w:ascii="Calibri" w:hAnsi="Calibri"/>
              </w:rPr>
              <w:t xml:space="preserve"> resources to support </w:t>
            </w:r>
            <w:proofErr w:type="spellStart"/>
            <w:r>
              <w:rPr>
                <w:rFonts w:ascii="Calibri" w:hAnsi="Calibri"/>
              </w:rPr>
              <w:t>Maths</w:t>
            </w:r>
            <w:proofErr w:type="spellEnd"/>
            <w:r>
              <w:rPr>
                <w:rFonts w:ascii="Calibri" w:hAnsi="Calibri"/>
              </w:rPr>
              <w:t xml:space="preserve"> performance. In class, there is a focus on reasoning. There will be an additional assessment point in May and a new action plan will be implemented.</w:t>
            </w:r>
          </w:p>
          <w:p>
            <w:pPr>
              <w:pStyle w:val="ListParagraph"/>
              <w:numPr>
                <w:ilvl w:val="0"/>
                <w:numId w:val="1"/>
              </w:numPr>
              <w:rPr>
                <w:rFonts w:ascii="Calibri" w:hAnsi="Calibri"/>
              </w:rPr>
            </w:pPr>
            <w:r>
              <w:rPr>
                <w:rFonts w:ascii="Calibri" w:hAnsi="Calibri"/>
              </w:rPr>
              <w:t xml:space="preserve">Year 6 shows strong progress in the three assessed areas and an increase in GD in Reading and </w:t>
            </w:r>
            <w:proofErr w:type="spellStart"/>
            <w:r>
              <w:rPr>
                <w:rFonts w:ascii="Calibri" w:hAnsi="Calibri"/>
              </w:rPr>
              <w:t>Maths</w:t>
            </w:r>
            <w:proofErr w:type="spellEnd"/>
            <w:r>
              <w:rPr>
                <w:rFonts w:ascii="Calibri" w:hAnsi="Calibri"/>
              </w:rPr>
              <w:t xml:space="preserve">. Two pupils in the DP group have made two steps of progress in Reading, Writing and </w:t>
            </w:r>
            <w:proofErr w:type="spellStart"/>
            <w:r>
              <w:rPr>
                <w:rFonts w:ascii="Calibri" w:hAnsi="Calibri"/>
              </w:rPr>
              <w:t>Maths</w:t>
            </w:r>
            <w:proofErr w:type="spellEnd"/>
            <w:r>
              <w:rPr>
                <w:rFonts w:ascii="Calibri" w:hAnsi="Calibri"/>
              </w:rPr>
              <w:t>. Despite the difficulties in the class there is significant progress across the board.</w:t>
            </w:r>
          </w:p>
          <w:p>
            <w:pPr>
              <w:pStyle w:val="ListParagraph"/>
              <w:numPr>
                <w:ilvl w:val="0"/>
                <w:numId w:val="1"/>
              </w:numPr>
              <w:rPr>
                <w:rFonts w:ascii="Calibri" w:hAnsi="Calibri"/>
              </w:rPr>
            </w:pPr>
            <w:r>
              <w:rPr>
                <w:rFonts w:ascii="Calibri" w:hAnsi="Calibri"/>
              </w:rPr>
              <w:t>In addition to core subject data, the next monitoring will also include data on foundation subjects.</w:t>
            </w: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tc>
      </w:tr>
      <w:tr>
        <w:trPr>
          <w:trHeight w:val="288"/>
        </w:trPr>
        <w:tc>
          <w:tcPr>
            <w:tcW w:w="10314" w:type="dxa"/>
            <w:gridSpan w:val="5"/>
          </w:tcPr>
          <w:p>
            <w:pPr>
              <w:rPr>
                <w:rFonts w:ascii="Calibri" w:hAnsi="Calibri"/>
              </w:rPr>
            </w:pPr>
            <w:r>
              <w:rPr>
                <w:rFonts w:ascii="Calibri" w:hAnsi="Calibri"/>
              </w:rPr>
              <w:t>Action agreed in GB meeting with regard to visit:</w:t>
            </w:r>
          </w:p>
          <w:p>
            <w:pPr>
              <w:rPr>
                <w:rFonts w:ascii="Calibri" w:hAnsi="Calibri"/>
              </w:rPr>
            </w:pPr>
          </w:p>
          <w:p>
            <w:pPr>
              <w:rPr>
                <w:rFonts w:ascii="Calibri" w:hAnsi="Calibri"/>
              </w:rPr>
            </w:pPr>
          </w:p>
          <w:p>
            <w:pPr>
              <w:rPr>
                <w:rFonts w:ascii="Calibri" w:hAnsi="Calibri"/>
              </w:rPr>
            </w:pPr>
          </w:p>
        </w:tc>
      </w:tr>
    </w:tbl>
    <w:p>
      <w:pPr>
        <w:rPr>
          <w:rFonts w:ascii="Calibri" w:hAnsi="Calibri"/>
          <w:b/>
          <w:sz w:val="28"/>
          <w:szCs w:val="28"/>
          <w:u w:val="single"/>
        </w:rPr>
      </w:pPr>
    </w:p>
    <w:p/>
    <w:sectPr>
      <w:pgSz w:w="12240" w:h="15840"/>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E0EF9"/>
    <w:multiLevelType w:val="hybridMultilevel"/>
    <w:tmpl w:val="90128F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7975511F-39BE-4BE9-AAFB-57A132D45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908</Words>
  <Characters>5181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Philippa Assender</dc:creator>
  <cp:lastModifiedBy>Nutfield Church Primary School Office</cp:lastModifiedBy>
  <cp:revision>2</cp:revision>
  <dcterms:created xsi:type="dcterms:W3CDTF">2023-04-24T12:06:00Z</dcterms:created>
  <dcterms:modified xsi:type="dcterms:W3CDTF">2023-04-24T12:06:00Z</dcterms:modified>
</cp:coreProperties>
</file>