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jc w:val="center"/>
        <w:rPr>
          <w:rFonts w:ascii="Calibri" w:hAnsi="Calibri"/>
          <w:b/>
          <w:sz w:val="36"/>
          <w:szCs w:val="36"/>
        </w:rPr>
      </w:pPr>
      <w:bookmarkStart w:id="0" w:name="_GoBack"/>
      <w:bookmarkEnd w:id="0"/>
      <w:r>
        <w:rPr>
          <w:rFonts w:ascii="Calibri" w:hAnsi="Calibri"/>
          <w:b/>
          <w:sz w:val="28"/>
          <w:szCs w:val="28"/>
          <w:u w:val="single"/>
        </w:rPr>
        <w:t>Nutfield Church (C of E) School</w:t>
      </w:r>
    </w:p>
    <w:p>
      <w:pPr>
        <w:jc w:val="center"/>
        <w:rPr>
          <w:rFonts w:ascii="Calibri" w:hAnsi="Calibri"/>
          <w:b/>
          <w:u w:val="single"/>
        </w:rPr>
      </w:pPr>
      <w:r>
        <w:rPr>
          <w:rFonts w:ascii="Calibri" w:hAnsi="Calibri"/>
          <w:b/>
          <w:noProof/>
        </w:rPr>
        <w:object w:dxaOrig="8114" w:dyaOrig="94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4.15pt;height:44.15pt;mso-width-percent:0;mso-height-percent:0;mso-width-percent:0;mso-height-percent:0" o:ole="">
            <v:imagedata r:id="rId5" o:title=""/>
          </v:shape>
          <o:OLEObject Type="Embed" ProgID="MSPhotoEd.3" ShapeID="_x0000_i1025" DrawAspect="Content" ObjectID="_1739000116" r:id="rId6"/>
        </w:object>
      </w:r>
    </w:p>
    <w:p>
      <w:pPr>
        <w:jc w:val="center"/>
        <w:rPr>
          <w:rFonts w:ascii="Calibri" w:hAnsi="Calibri"/>
          <w:b/>
          <w:u w:val="single"/>
        </w:rPr>
      </w:pPr>
      <w:r>
        <w:rPr>
          <w:rFonts w:ascii="Calibri" w:hAnsi="Calibri"/>
          <w:b/>
          <w:u w:val="single"/>
        </w:rPr>
        <w:t xml:space="preserve">GOVERNOR MONITORING  </w:t>
      </w:r>
    </w:p>
    <w:p>
      <w:pPr>
        <w:jc w:val="center"/>
        <w:rPr>
          <w:rFonts w:ascii="Calibri" w:hAnsi="Calibri"/>
          <w:b/>
          <w:sz w:val="22"/>
          <w:szCs w:val="22"/>
        </w:rPr>
      </w:pPr>
      <w:r>
        <w:rPr>
          <w:rFonts w:ascii="Calibri" w:hAnsi="Calibri"/>
          <w:b/>
          <w:sz w:val="22"/>
          <w:szCs w:val="22"/>
        </w:rPr>
        <w:t xml:space="preserve">COMMUNITY, PEACE, WISDOM, HOPE, DIGNITY, JOY </w:t>
      </w:r>
    </w:p>
    <w:p>
      <w:pPr>
        <w:rPr>
          <w:rFonts w:ascii="Calibri" w:hAnsi="Calibri"/>
        </w:rPr>
      </w:pPr>
    </w:p>
    <w:tbl>
      <w:tblPr>
        <w:tblW w:w="103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991"/>
        <w:gridCol w:w="2092"/>
        <w:gridCol w:w="2306"/>
        <w:gridCol w:w="2549"/>
        <w:gridCol w:w="2376"/>
      </w:tblGrid>
      <w:tr>
        <w:tc>
          <w:tcPr>
            <w:tcW w:w="5389" w:type="dxa"/>
            <w:gridSpan w:val="3"/>
            <w:tcBorders>
              <w:right w:val="single" w:sz="12" w:space="0" w:color="000000"/>
            </w:tcBorders>
          </w:tcPr>
          <w:p>
            <w:pPr>
              <w:rPr>
                <w:rFonts w:ascii="Calibri" w:hAnsi="Calibri"/>
              </w:rPr>
            </w:pPr>
            <w:r>
              <w:rPr>
                <w:rFonts w:ascii="Calibri" w:hAnsi="Calibri"/>
              </w:rPr>
              <w:t xml:space="preserve">Name of Governor: </w:t>
            </w:r>
          </w:p>
          <w:p>
            <w:pPr>
              <w:rPr>
                <w:rFonts w:ascii="Calibri" w:hAnsi="Calibri"/>
              </w:rPr>
            </w:pPr>
            <w:r>
              <w:rPr>
                <w:rFonts w:ascii="Calibri" w:hAnsi="Calibri"/>
              </w:rPr>
              <w:t>Kristy Armer &amp; Jane Vorster</w:t>
            </w:r>
          </w:p>
        </w:tc>
        <w:tc>
          <w:tcPr>
            <w:tcW w:w="4925" w:type="dxa"/>
            <w:gridSpan w:val="2"/>
            <w:tcBorders>
              <w:left w:val="single" w:sz="12" w:space="0" w:color="000000"/>
            </w:tcBorders>
          </w:tcPr>
          <w:p>
            <w:pPr>
              <w:rPr>
                <w:rFonts w:ascii="Calibri" w:hAnsi="Calibri"/>
              </w:rPr>
            </w:pPr>
            <w:r>
              <w:rPr>
                <w:rFonts w:ascii="Calibri" w:hAnsi="Calibri"/>
              </w:rPr>
              <w:t>Date: 10 February 2023</w:t>
            </w:r>
          </w:p>
        </w:tc>
      </w:tr>
      <w:tr>
        <w:trPr>
          <w:trHeight w:val="391"/>
        </w:trPr>
        <w:tc>
          <w:tcPr>
            <w:tcW w:w="10314" w:type="dxa"/>
            <w:gridSpan w:val="5"/>
            <w:tcBorders>
              <w:bottom w:val="single" w:sz="4" w:space="0" w:color="000000"/>
            </w:tcBorders>
          </w:tcPr>
          <w:p>
            <w:pPr>
              <w:rPr>
                <w:rFonts w:ascii="Calibri" w:hAnsi="Calibri"/>
              </w:rPr>
            </w:pPr>
            <w:r>
              <w:rPr>
                <w:rFonts w:ascii="Calibri" w:hAnsi="Calibri"/>
              </w:rPr>
              <w:t>Focus Area(s): Quality of Education</w:t>
            </w:r>
          </w:p>
        </w:tc>
      </w:tr>
      <w:tr>
        <w:trPr>
          <w:trHeight w:val="292"/>
        </w:trPr>
        <w:tc>
          <w:tcPr>
            <w:tcW w:w="991" w:type="dxa"/>
            <w:tcBorders>
              <w:top w:val="single" w:sz="12" w:space="0" w:color="000000"/>
              <w:right w:val="single" w:sz="12" w:space="0" w:color="000000"/>
            </w:tcBorders>
          </w:tcPr>
          <w:p>
            <w:pPr>
              <w:rPr>
                <w:rFonts w:ascii="Calibri" w:hAnsi="Calibri"/>
                <w:b/>
              </w:rPr>
            </w:pPr>
            <w:r>
              <w:rPr>
                <w:rFonts w:ascii="Calibri" w:hAnsi="Calibri"/>
                <w:b/>
              </w:rPr>
              <w:t>SIAMS</w:t>
            </w:r>
          </w:p>
        </w:tc>
        <w:tc>
          <w:tcPr>
            <w:tcW w:w="2092" w:type="dxa"/>
            <w:shd w:val="clear" w:color="auto" w:fill="auto"/>
          </w:tcPr>
          <w:p>
            <w:pPr>
              <w:rPr>
                <w:rFonts w:ascii="Calibri" w:hAnsi="Calibri"/>
                <w:sz w:val="22"/>
                <w:szCs w:val="22"/>
              </w:rPr>
            </w:pPr>
            <w:r>
              <w:rPr>
                <w:rFonts w:ascii="Calibri" w:hAnsi="Calibri"/>
                <w:sz w:val="22"/>
                <w:szCs w:val="22"/>
              </w:rPr>
              <w:t>Vision and Leadership</w:t>
            </w:r>
          </w:p>
        </w:tc>
        <w:tc>
          <w:tcPr>
            <w:tcW w:w="2306" w:type="dxa"/>
            <w:shd w:val="clear" w:color="auto" w:fill="auto"/>
          </w:tcPr>
          <w:p>
            <w:pPr>
              <w:rPr>
                <w:rFonts w:ascii="Calibri" w:hAnsi="Calibri"/>
                <w:sz w:val="22"/>
                <w:szCs w:val="22"/>
              </w:rPr>
            </w:pPr>
            <w:r>
              <w:rPr>
                <w:rFonts w:ascii="Calibri" w:hAnsi="Calibri"/>
                <w:sz w:val="22"/>
                <w:szCs w:val="22"/>
              </w:rPr>
              <w:t>Wisdom, Knowledge and Skills</w:t>
            </w:r>
          </w:p>
        </w:tc>
        <w:tc>
          <w:tcPr>
            <w:tcW w:w="2549" w:type="dxa"/>
            <w:shd w:val="clear" w:color="auto" w:fill="auto"/>
          </w:tcPr>
          <w:p>
            <w:pPr>
              <w:rPr>
                <w:rFonts w:ascii="Calibri" w:hAnsi="Calibri"/>
                <w:sz w:val="22"/>
                <w:szCs w:val="22"/>
              </w:rPr>
            </w:pPr>
            <w:r>
              <w:rPr>
                <w:rFonts w:ascii="Calibri" w:hAnsi="Calibri"/>
                <w:sz w:val="22"/>
                <w:szCs w:val="22"/>
              </w:rPr>
              <w:t>Character Development</w:t>
            </w:r>
          </w:p>
        </w:tc>
        <w:tc>
          <w:tcPr>
            <w:tcW w:w="2376" w:type="dxa"/>
            <w:shd w:val="clear" w:color="auto" w:fill="auto"/>
          </w:tcPr>
          <w:p>
            <w:pPr>
              <w:rPr>
                <w:rFonts w:ascii="Calibri" w:hAnsi="Calibri"/>
                <w:sz w:val="22"/>
                <w:szCs w:val="22"/>
              </w:rPr>
            </w:pPr>
            <w:r>
              <w:rPr>
                <w:rFonts w:ascii="Calibri" w:hAnsi="Calibri"/>
                <w:sz w:val="22"/>
                <w:szCs w:val="22"/>
              </w:rPr>
              <w:t>Community and Living Well Together</w:t>
            </w:r>
          </w:p>
        </w:tc>
      </w:tr>
      <w:tr>
        <w:trPr>
          <w:trHeight w:val="292"/>
        </w:trPr>
        <w:tc>
          <w:tcPr>
            <w:tcW w:w="991" w:type="dxa"/>
            <w:tcBorders>
              <w:top w:val="single" w:sz="12" w:space="0" w:color="000000"/>
              <w:right w:val="single" w:sz="12" w:space="0" w:color="000000"/>
            </w:tcBorders>
          </w:tcPr>
          <w:p>
            <w:pPr>
              <w:rPr>
                <w:rFonts w:ascii="Calibri" w:hAnsi="Calibri"/>
                <w:b/>
              </w:rPr>
            </w:pPr>
          </w:p>
        </w:tc>
        <w:tc>
          <w:tcPr>
            <w:tcW w:w="2092" w:type="dxa"/>
            <w:shd w:val="clear" w:color="auto" w:fill="auto"/>
          </w:tcPr>
          <w:p>
            <w:pPr>
              <w:rPr>
                <w:rFonts w:ascii="Calibri" w:hAnsi="Calibri"/>
                <w:sz w:val="22"/>
                <w:szCs w:val="22"/>
              </w:rPr>
            </w:pPr>
            <w:r>
              <w:rPr>
                <w:rFonts w:ascii="Calibri" w:hAnsi="Calibri"/>
                <w:sz w:val="22"/>
                <w:szCs w:val="22"/>
              </w:rPr>
              <w:t>Dignity and Respect</w:t>
            </w:r>
          </w:p>
        </w:tc>
        <w:tc>
          <w:tcPr>
            <w:tcW w:w="2306" w:type="dxa"/>
            <w:shd w:val="clear" w:color="auto" w:fill="auto"/>
          </w:tcPr>
          <w:p>
            <w:pPr>
              <w:rPr>
                <w:rFonts w:ascii="Calibri" w:hAnsi="Calibri"/>
                <w:sz w:val="22"/>
                <w:szCs w:val="22"/>
              </w:rPr>
            </w:pPr>
            <w:r>
              <w:rPr>
                <w:rFonts w:ascii="Calibri" w:hAnsi="Calibri"/>
                <w:sz w:val="22"/>
                <w:szCs w:val="22"/>
              </w:rPr>
              <w:t>Collective Worship</w:t>
            </w:r>
          </w:p>
        </w:tc>
        <w:tc>
          <w:tcPr>
            <w:tcW w:w="2549" w:type="dxa"/>
            <w:shd w:val="clear" w:color="auto" w:fill="auto"/>
          </w:tcPr>
          <w:p>
            <w:pPr>
              <w:rPr>
                <w:rFonts w:ascii="Calibri" w:hAnsi="Calibri"/>
                <w:sz w:val="22"/>
                <w:szCs w:val="22"/>
              </w:rPr>
            </w:pPr>
            <w:r>
              <w:rPr>
                <w:rFonts w:ascii="Calibri" w:hAnsi="Calibri"/>
                <w:sz w:val="22"/>
                <w:szCs w:val="22"/>
              </w:rPr>
              <w:t>Religious Education</w:t>
            </w:r>
          </w:p>
        </w:tc>
        <w:tc>
          <w:tcPr>
            <w:tcW w:w="2376" w:type="dxa"/>
            <w:shd w:val="clear" w:color="auto" w:fill="auto"/>
          </w:tcPr>
          <w:p>
            <w:pPr>
              <w:rPr>
                <w:rFonts w:ascii="Calibri" w:hAnsi="Calibri"/>
                <w:sz w:val="22"/>
                <w:szCs w:val="22"/>
              </w:rPr>
            </w:pPr>
          </w:p>
        </w:tc>
      </w:tr>
      <w:tr>
        <w:trPr>
          <w:trHeight w:val="292"/>
        </w:trPr>
        <w:tc>
          <w:tcPr>
            <w:tcW w:w="991" w:type="dxa"/>
            <w:tcBorders>
              <w:top w:val="single" w:sz="12" w:space="0" w:color="000000"/>
              <w:right w:val="single" w:sz="12" w:space="0" w:color="000000"/>
            </w:tcBorders>
          </w:tcPr>
          <w:p>
            <w:pPr>
              <w:rPr>
                <w:rFonts w:ascii="Calibri" w:hAnsi="Calibri"/>
                <w:b/>
              </w:rPr>
            </w:pPr>
            <w:r>
              <w:rPr>
                <w:rFonts w:ascii="Calibri" w:hAnsi="Calibri"/>
                <w:b/>
              </w:rPr>
              <w:t>OFSTED</w:t>
            </w:r>
          </w:p>
        </w:tc>
        <w:tc>
          <w:tcPr>
            <w:tcW w:w="2092" w:type="dxa"/>
            <w:shd w:val="clear" w:color="auto" w:fill="auto"/>
          </w:tcPr>
          <w:p>
            <w:pPr>
              <w:rPr>
                <w:rFonts w:ascii="Calibri" w:hAnsi="Calibri"/>
                <w:b/>
                <w:bCs/>
                <w:sz w:val="22"/>
                <w:szCs w:val="22"/>
              </w:rPr>
            </w:pPr>
            <w:r>
              <w:rPr>
                <w:rFonts w:ascii="Calibri" w:hAnsi="Calibri"/>
                <w:b/>
                <w:bCs/>
                <w:sz w:val="22"/>
                <w:szCs w:val="22"/>
              </w:rPr>
              <w:t xml:space="preserve">Quality of Education </w:t>
            </w:r>
          </w:p>
        </w:tc>
        <w:tc>
          <w:tcPr>
            <w:tcW w:w="2306" w:type="dxa"/>
            <w:shd w:val="clear" w:color="auto" w:fill="auto"/>
          </w:tcPr>
          <w:p>
            <w:pPr>
              <w:rPr>
                <w:rFonts w:ascii="Calibri" w:hAnsi="Calibri"/>
                <w:sz w:val="22"/>
                <w:szCs w:val="22"/>
              </w:rPr>
            </w:pPr>
            <w:r>
              <w:rPr>
                <w:rFonts w:ascii="Calibri" w:hAnsi="Calibri"/>
                <w:sz w:val="22"/>
                <w:szCs w:val="22"/>
              </w:rPr>
              <w:t xml:space="preserve">Behavior and Attitudes </w:t>
            </w:r>
          </w:p>
        </w:tc>
        <w:tc>
          <w:tcPr>
            <w:tcW w:w="2549" w:type="dxa"/>
            <w:shd w:val="clear" w:color="auto" w:fill="auto"/>
          </w:tcPr>
          <w:p>
            <w:pPr>
              <w:rPr>
                <w:rFonts w:ascii="Calibri" w:hAnsi="Calibri"/>
                <w:sz w:val="22"/>
                <w:szCs w:val="22"/>
              </w:rPr>
            </w:pPr>
            <w:r>
              <w:rPr>
                <w:rFonts w:ascii="Calibri" w:hAnsi="Calibri"/>
                <w:sz w:val="22"/>
                <w:szCs w:val="22"/>
              </w:rPr>
              <w:t xml:space="preserve">Personal Development </w:t>
            </w:r>
          </w:p>
        </w:tc>
        <w:tc>
          <w:tcPr>
            <w:tcW w:w="2376" w:type="dxa"/>
            <w:shd w:val="clear" w:color="auto" w:fill="auto"/>
          </w:tcPr>
          <w:p>
            <w:pPr>
              <w:rPr>
                <w:rFonts w:ascii="Calibri" w:hAnsi="Calibri"/>
                <w:sz w:val="22"/>
                <w:szCs w:val="22"/>
              </w:rPr>
            </w:pPr>
            <w:r>
              <w:rPr>
                <w:rFonts w:ascii="Calibri" w:hAnsi="Calibri"/>
                <w:sz w:val="22"/>
                <w:szCs w:val="22"/>
              </w:rPr>
              <w:t xml:space="preserve">Leadership and Management </w:t>
            </w:r>
          </w:p>
        </w:tc>
      </w:tr>
      <w:tr>
        <w:trPr>
          <w:trHeight w:val="288"/>
        </w:trPr>
        <w:tc>
          <w:tcPr>
            <w:tcW w:w="10314" w:type="dxa"/>
            <w:gridSpan w:val="5"/>
          </w:tcPr>
          <w:p>
            <w:pPr>
              <w:rPr>
                <w:rFonts w:ascii="Calibri" w:hAnsi="Calibri"/>
              </w:rPr>
            </w:pPr>
            <w:r>
              <w:rPr>
                <w:rFonts w:ascii="Calibri" w:hAnsi="Calibri"/>
              </w:rPr>
              <w:t>Any safeguarding Issues: None</w:t>
            </w:r>
          </w:p>
        </w:tc>
      </w:tr>
      <w:tr>
        <w:trPr>
          <w:trHeight w:val="288"/>
        </w:trPr>
        <w:tc>
          <w:tcPr>
            <w:tcW w:w="10314" w:type="dxa"/>
            <w:gridSpan w:val="5"/>
          </w:tcPr>
          <w:p>
            <w:pPr>
              <w:rPr>
                <w:rFonts w:ascii="Calibri" w:hAnsi="Calibri"/>
                <w:u w:val="single"/>
              </w:rPr>
            </w:pPr>
            <w:r>
              <w:rPr>
                <w:rFonts w:ascii="Calibri" w:hAnsi="Calibri"/>
                <w:u w:val="single"/>
              </w:rPr>
              <w:t>Governor comments:</w:t>
            </w:r>
          </w:p>
          <w:p>
            <w:pPr>
              <w:rPr>
                <w:rFonts w:ascii="Calibri" w:hAnsi="Calibri"/>
              </w:rPr>
            </w:pPr>
          </w:p>
          <w:p>
            <w:pPr>
              <w:rPr>
                <w:rFonts w:asciiTheme="minorHAnsi" w:hAnsiTheme="minorHAnsi" w:cstheme="minorHAnsi"/>
              </w:rPr>
            </w:pPr>
            <w:r>
              <w:rPr>
                <w:rFonts w:asciiTheme="minorHAnsi" w:hAnsiTheme="minorHAnsi" w:cstheme="minorHAnsi"/>
              </w:rPr>
              <w:t xml:space="preserve">The session was </w:t>
            </w:r>
            <w:proofErr w:type="spellStart"/>
            <w:r>
              <w:rPr>
                <w:rFonts w:asciiTheme="minorHAnsi" w:hAnsiTheme="minorHAnsi" w:cstheme="minorHAnsi"/>
              </w:rPr>
              <w:t>lead</w:t>
            </w:r>
            <w:proofErr w:type="spellEnd"/>
            <w:r>
              <w:rPr>
                <w:rFonts w:asciiTheme="minorHAnsi" w:hAnsiTheme="minorHAnsi" w:cstheme="minorHAnsi"/>
              </w:rPr>
              <w:t xml:space="preserve"> by Miss Mitchell who took Governors on a tour of the school where all children were busy learning. It was noted how quiet and focused each classroom was. Miss Mitchell did an excellent job of clearly delivering key information to Governors during her presentation of Data, which was thorough, detailed, and gave a clear picture.</w:t>
            </w:r>
          </w:p>
          <w:p>
            <w:pPr>
              <w:rPr>
                <w:rFonts w:asciiTheme="minorHAnsi" w:hAnsiTheme="minorHAnsi" w:cstheme="minorHAnsi"/>
              </w:rPr>
            </w:pPr>
          </w:p>
          <w:p>
            <w:pPr>
              <w:rPr>
                <w:rFonts w:asciiTheme="minorHAnsi" w:hAnsiTheme="minorHAnsi" w:cstheme="minorHAnsi"/>
              </w:rPr>
            </w:pPr>
            <w:r>
              <w:rPr>
                <w:rFonts w:asciiTheme="minorHAnsi" w:hAnsiTheme="minorHAnsi" w:cstheme="minorHAnsi"/>
              </w:rPr>
              <w:t xml:space="preserve">The schools move to White Rose </w:t>
            </w:r>
            <w:proofErr w:type="spellStart"/>
            <w:r>
              <w:rPr>
                <w:rFonts w:asciiTheme="minorHAnsi" w:hAnsiTheme="minorHAnsi" w:cstheme="minorHAnsi"/>
              </w:rPr>
              <w:t>Maths</w:t>
            </w:r>
            <w:proofErr w:type="spellEnd"/>
            <w:r>
              <w:rPr>
                <w:rFonts w:asciiTheme="minorHAnsi" w:hAnsiTheme="minorHAnsi" w:cstheme="minorHAnsi"/>
              </w:rPr>
              <w:t xml:space="preserve"> last year was discussed, and how the teachers and pupils have been settling in to this. This scheme uses new </w:t>
            </w:r>
            <w:proofErr w:type="spellStart"/>
            <w:r>
              <w:rPr>
                <w:rFonts w:asciiTheme="minorHAnsi" w:hAnsiTheme="minorHAnsi" w:cstheme="minorHAnsi"/>
              </w:rPr>
              <w:t>Maths</w:t>
            </w:r>
            <w:proofErr w:type="spellEnd"/>
            <w:r>
              <w:rPr>
                <w:rFonts w:asciiTheme="minorHAnsi" w:hAnsiTheme="minorHAnsi" w:cstheme="minorHAnsi"/>
              </w:rPr>
              <w:t xml:space="preserve"> papers, tested termly, which include reasoning’ – giving children the opportunity to test their logical thinking. This gives NCPS a clear indication of how children are performing and identifying any patterns within the data.</w:t>
            </w:r>
          </w:p>
          <w:p>
            <w:pPr>
              <w:rPr>
                <w:rFonts w:asciiTheme="minorHAnsi" w:hAnsiTheme="minorHAnsi" w:cstheme="minorHAnsi"/>
              </w:rPr>
            </w:pPr>
          </w:p>
          <w:p>
            <w:pPr>
              <w:rPr>
                <w:rFonts w:asciiTheme="minorHAnsi" w:hAnsiTheme="minorHAnsi" w:cstheme="minorHAnsi"/>
              </w:rPr>
            </w:pPr>
            <w:r>
              <w:rPr>
                <w:rFonts w:asciiTheme="minorHAnsi" w:hAnsiTheme="minorHAnsi" w:cstheme="minorHAnsi"/>
              </w:rPr>
              <w:t xml:space="preserve">More in-depth assessments in reading are taking place – preparing children more effectively for SATS, as the style of test is very similar. All skills are tested, including inference, which helps children with reasoning. The assessments are effective in identifying areas for development. </w:t>
            </w:r>
          </w:p>
          <w:p>
            <w:pPr>
              <w:rPr>
                <w:rFonts w:asciiTheme="minorHAnsi" w:hAnsiTheme="minorHAnsi" w:cstheme="minorHAnsi"/>
              </w:rPr>
            </w:pPr>
          </w:p>
          <w:p>
            <w:pPr>
              <w:rPr>
                <w:rFonts w:asciiTheme="minorHAnsi" w:hAnsiTheme="minorHAnsi" w:cstheme="minorHAnsi"/>
              </w:rPr>
            </w:pPr>
            <w:r>
              <w:rPr>
                <w:rFonts w:asciiTheme="minorHAnsi" w:hAnsiTheme="minorHAnsi" w:cstheme="minorHAnsi"/>
              </w:rPr>
              <w:t>Essential Letters &amp; Sounds phonics is now consistently running throughout the school.</w:t>
            </w:r>
          </w:p>
          <w:p>
            <w:pPr>
              <w:rPr>
                <w:rFonts w:asciiTheme="minorHAnsi" w:hAnsiTheme="minorHAnsi" w:cstheme="minorHAnsi"/>
              </w:rPr>
            </w:pPr>
          </w:p>
          <w:p>
            <w:pPr>
              <w:rPr>
                <w:rFonts w:asciiTheme="minorHAnsi" w:hAnsiTheme="minorHAnsi" w:cstheme="minorHAnsi"/>
              </w:rPr>
            </w:pPr>
            <w:r>
              <w:rPr>
                <w:rFonts w:asciiTheme="minorHAnsi" w:hAnsiTheme="minorHAnsi" w:cstheme="minorHAnsi"/>
              </w:rPr>
              <w:t>Assessments for writing have gone up a gear for the Spring term, with a wider range of children’s writing being assessed - 2/3 pieces instead 1 - offering a variety of tasks. This gives the child a fairer chance with the outcome of the assessment.</w:t>
            </w:r>
          </w:p>
          <w:p>
            <w:pPr>
              <w:rPr>
                <w:rFonts w:asciiTheme="minorHAnsi" w:hAnsiTheme="minorHAnsi" w:cstheme="minorHAnsi"/>
              </w:rPr>
            </w:pPr>
          </w:p>
          <w:p>
            <w:pPr>
              <w:rPr>
                <w:rFonts w:asciiTheme="minorHAnsi" w:hAnsiTheme="minorHAnsi" w:cstheme="minorHAnsi"/>
              </w:rPr>
            </w:pPr>
            <w:r>
              <w:rPr>
                <w:rFonts w:asciiTheme="minorHAnsi" w:hAnsiTheme="minorHAnsi" w:cstheme="minorHAnsi"/>
              </w:rPr>
              <w:t xml:space="preserve">YR, Y1, Y3, Y4 and Y5 are internally assessed by teachers. Y2 and Y6 will sit SATS papers. </w:t>
            </w:r>
          </w:p>
          <w:p>
            <w:pPr>
              <w:rPr>
                <w:rFonts w:asciiTheme="minorHAnsi" w:hAnsiTheme="minorHAnsi" w:cstheme="minorHAnsi"/>
              </w:rPr>
            </w:pPr>
          </w:p>
          <w:p>
            <w:pPr>
              <w:rPr>
                <w:rFonts w:asciiTheme="minorHAnsi" w:hAnsiTheme="minorHAnsi" w:cstheme="minorHAnsi"/>
              </w:rPr>
            </w:pPr>
            <w:r>
              <w:rPr>
                <w:rFonts w:asciiTheme="minorHAnsi" w:hAnsiTheme="minorHAnsi" w:cstheme="minorHAnsi"/>
              </w:rPr>
              <w:t>RE continues to be invested in heavily by NCPS and is assessed every half term. Expected Level by Y4 is Level 4. We are already exceeding this. SEN children also achieve well in this subject. We are very proud of our RE standards.</w:t>
            </w:r>
          </w:p>
          <w:p>
            <w:pPr>
              <w:rPr>
                <w:rFonts w:asciiTheme="minorHAnsi" w:hAnsiTheme="minorHAnsi" w:cstheme="minorHAnsi"/>
              </w:rPr>
            </w:pPr>
          </w:p>
          <w:p>
            <w:pPr>
              <w:rPr>
                <w:rFonts w:asciiTheme="minorHAnsi" w:hAnsiTheme="minorHAnsi" w:cstheme="minorHAnsi"/>
              </w:rPr>
            </w:pPr>
            <w:r>
              <w:rPr>
                <w:rFonts w:asciiTheme="minorHAnsi" w:hAnsiTheme="minorHAnsi" w:cstheme="minorHAnsi"/>
              </w:rPr>
              <w:t xml:space="preserve">Wellbeing </w:t>
            </w:r>
            <w:proofErr w:type="spellStart"/>
            <w:r>
              <w:rPr>
                <w:rFonts w:asciiTheme="minorHAnsi" w:hAnsiTheme="minorHAnsi" w:cstheme="minorHAnsi"/>
              </w:rPr>
              <w:t>Programme</w:t>
            </w:r>
            <w:proofErr w:type="spellEnd"/>
            <w:r>
              <w:rPr>
                <w:rFonts w:asciiTheme="minorHAnsi" w:hAnsiTheme="minorHAnsi" w:cstheme="minorHAnsi"/>
              </w:rPr>
              <w:t xml:space="preserve"> gives the school a broader curriculum which nurtures the whole child and not just the academic.</w:t>
            </w:r>
          </w:p>
          <w:p>
            <w:pPr>
              <w:rPr>
                <w:rFonts w:asciiTheme="minorHAnsi" w:hAnsiTheme="minorHAnsi" w:cstheme="minorHAnsi"/>
              </w:rPr>
            </w:pPr>
          </w:p>
          <w:p>
            <w:pPr>
              <w:rPr>
                <w:rFonts w:asciiTheme="minorHAnsi" w:hAnsiTheme="minorHAnsi" w:cstheme="minorHAnsi"/>
              </w:rPr>
            </w:pPr>
          </w:p>
          <w:p>
            <w:pPr>
              <w:rPr>
                <w:rFonts w:asciiTheme="minorHAnsi" w:hAnsiTheme="minorHAnsi" w:cstheme="minorHAnsi"/>
              </w:rPr>
            </w:pPr>
          </w:p>
          <w:p>
            <w:pPr>
              <w:rPr>
                <w:rFonts w:asciiTheme="minorHAnsi" w:hAnsiTheme="minorHAnsi" w:cstheme="minorHAnsi"/>
              </w:rPr>
            </w:pPr>
          </w:p>
          <w:p>
            <w:pPr>
              <w:rPr>
                <w:rFonts w:asciiTheme="minorHAnsi" w:hAnsiTheme="minorHAnsi" w:cstheme="minorHAnsi"/>
              </w:rPr>
            </w:pPr>
          </w:p>
          <w:p>
            <w:pPr>
              <w:rPr>
                <w:rFonts w:asciiTheme="minorHAnsi" w:hAnsiTheme="minorHAnsi" w:cstheme="minorHAnsi"/>
              </w:rPr>
            </w:pPr>
          </w:p>
          <w:p>
            <w:pPr>
              <w:rPr>
                <w:rFonts w:asciiTheme="minorHAnsi" w:hAnsiTheme="minorHAnsi" w:cstheme="minorHAnsi"/>
              </w:rPr>
            </w:pPr>
            <w:r>
              <w:rPr>
                <w:rFonts w:asciiTheme="minorHAnsi" w:hAnsiTheme="minorHAnsi" w:cstheme="minorHAnsi"/>
              </w:rPr>
              <w:t xml:space="preserve">Y1 – Some children are at WTS (21/21/18) – </w:t>
            </w:r>
            <w:proofErr w:type="spellStart"/>
            <w:r>
              <w:rPr>
                <w:rFonts w:asciiTheme="minorHAnsi" w:hAnsiTheme="minorHAnsi" w:cstheme="minorHAnsi"/>
              </w:rPr>
              <w:t>focussing</w:t>
            </w:r>
            <w:proofErr w:type="spellEnd"/>
            <w:r>
              <w:rPr>
                <w:rFonts w:asciiTheme="minorHAnsi" w:hAnsiTheme="minorHAnsi" w:cstheme="minorHAnsi"/>
              </w:rPr>
              <w:t xml:space="preserve"> on bringing these up to ES.</w:t>
            </w:r>
          </w:p>
          <w:p>
            <w:pPr>
              <w:rPr>
                <w:rFonts w:asciiTheme="minorHAnsi" w:hAnsiTheme="minorHAnsi" w:cstheme="minorHAnsi"/>
              </w:rPr>
            </w:pPr>
            <w:r>
              <w:rPr>
                <w:rFonts w:asciiTheme="minorHAnsi" w:hAnsiTheme="minorHAnsi" w:cstheme="minorHAnsi"/>
              </w:rPr>
              <w:t>Y2 - R/W/M – encouraging to see progress, and positive picture for SEN, DP &amp; LAC.</w:t>
            </w:r>
          </w:p>
          <w:p>
            <w:pPr>
              <w:rPr>
                <w:rFonts w:asciiTheme="minorHAnsi" w:hAnsiTheme="minorHAnsi" w:cstheme="minorHAnsi"/>
              </w:rPr>
            </w:pPr>
            <w:r>
              <w:rPr>
                <w:rFonts w:asciiTheme="minorHAnsi" w:hAnsiTheme="minorHAnsi" w:cstheme="minorHAnsi"/>
              </w:rPr>
              <w:t xml:space="preserve">Y3 – Slight drop overall but a jump in GD. One child has joined SEN register which has caused the data to drop. Writing and </w:t>
            </w:r>
            <w:proofErr w:type="spellStart"/>
            <w:r>
              <w:rPr>
                <w:rFonts w:asciiTheme="minorHAnsi" w:hAnsiTheme="minorHAnsi" w:cstheme="minorHAnsi"/>
              </w:rPr>
              <w:t>Maths</w:t>
            </w:r>
            <w:proofErr w:type="spellEnd"/>
            <w:r>
              <w:rPr>
                <w:rFonts w:asciiTheme="minorHAnsi" w:hAnsiTheme="minorHAnsi" w:cstheme="minorHAnsi"/>
              </w:rPr>
              <w:t xml:space="preserve"> has jumped from baseline. All progress is as we would expect.</w:t>
            </w:r>
          </w:p>
          <w:p>
            <w:pPr>
              <w:rPr>
                <w:rFonts w:asciiTheme="minorHAnsi" w:hAnsiTheme="minorHAnsi" w:cstheme="minorHAnsi"/>
              </w:rPr>
            </w:pPr>
            <w:r>
              <w:rPr>
                <w:rFonts w:asciiTheme="minorHAnsi" w:hAnsiTheme="minorHAnsi" w:cstheme="minorHAnsi"/>
              </w:rPr>
              <w:t xml:space="preserve">Y4 – Goal was 87% in R&amp;W with 90% in </w:t>
            </w:r>
            <w:proofErr w:type="spellStart"/>
            <w:r>
              <w:rPr>
                <w:rFonts w:asciiTheme="minorHAnsi" w:hAnsiTheme="minorHAnsi" w:cstheme="minorHAnsi"/>
              </w:rPr>
              <w:t>Maths</w:t>
            </w:r>
            <w:proofErr w:type="spellEnd"/>
            <w:r>
              <w:rPr>
                <w:rFonts w:asciiTheme="minorHAnsi" w:hAnsiTheme="minorHAnsi" w:cstheme="minorHAnsi"/>
              </w:rPr>
              <w:t>. Due to some children leaving and one EAL, this has caused data to drop</w:t>
            </w:r>
          </w:p>
          <w:p>
            <w:pPr>
              <w:rPr>
                <w:rFonts w:asciiTheme="minorHAnsi" w:hAnsiTheme="minorHAnsi" w:cstheme="minorHAnsi"/>
              </w:rPr>
            </w:pPr>
            <w:r>
              <w:rPr>
                <w:rFonts w:asciiTheme="minorHAnsi" w:hAnsiTheme="minorHAnsi" w:cstheme="minorHAnsi"/>
              </w:rPr>
              <w:t xml:space="preserve">Y5 – Reading is lower than baseline – school is working hard to improve this. One SEN child diagnosed with DLD made great progress in writing and </w:t>
            </w:r>
            <w:proofErr w:type="spellStart"/>
            <w:r>
              <w:rPr>
                <w:rFonts w:asciiTheme="minorHAnsi" w:hAnsiTheme="minorHAnsi" w:cstheme="minorHAnsi"/>
              </w:rPr>
              <w:t>maths</w:t>
            </w:r>
            <w:proofErr w:type="spellEnd"/>
            <w:r>
              <w:rPr>
                <w:rFonts w:asciiTheme="minorHAnsi" w:hAnsiTheme="minorHAnsi" w:cstheme="minorHAnsi"/>
              </w:rPr>
              <w:t>, with appropriately resourced intervention. Child has been given a Chromebook and his own timetable and has shown good progress. There is a good culture of learning with no bullying behaviors. One child is consistently absent with low attendance, so when he is in, steps are in place to help him catch up. Y5 teacher is really making a difference with the class.</w:t>
            </w:r>
          </w:p>
          <w:p>
            <w:pPr>
              <w:rPr>
                <w:rFonts w:asciiTheme="minorHAnsi" w:hAnsiTheme="minorHAnsi" w:cstheme="minorHAnsi"/>
              </w:rPr>
            </w:pPr>
            <w:r>
              <w:rPr>
                <w:rFonts w:asciiTheme="minorHAnsi" w:hAnsiTheme="minorHAnsi" w:cstheme="minorHAnsi"/>
              </w:rPr>
              <w:t>Y6 – Positive outlook with considerable improvements against base. Greater Depth is strong in Y6.</w:t>
            </w:r>
          </w:p>
          <w:p>
            <w:pPr>
              <w:rPr>
                <w:rFonts w:asciiTheme="minorHAnsi" w:hAnsiTheme="minorHAnsi" w:cstheme="minorHAnsi"/>
              </w:rPr>
            </w:pPr>
          </w:p>
          <w:p>
            <w:pPr>
              <w:rPr>
                <w:rFonts w:asciiTheme="minorHAnsi" w:hAnsiTheme="minorHAnsi" w:cstheme="minorHAnsi"/>
              </w:rPr>
            </w:pPr>
            <w:r>
              <w:rPr>
                <w:rFonts w:asciiTheme="minorHAnsi" w:hAnsiTheme="minorHAnsi" w:cstheme="minorHAnsi"/>
              </w:rPr>
              <w:t>Data is split out for SEN, DP, LAC and EAL across KS1, KS2 and Whole School. Greater Depth can be found at the end of the report.</w:t>
            </w:r>
          </w:p>
          <w:p>
            <w:pPr>
              <w:rPr>
                <w:rFonts w:asciiTheme="minorHAnsi" w:hAnsiTheme="minorHAnsi" w:cstheme="minorHAnsi"/>
              </w:rPr>
            </w:pPr>
          </w:p>
          <w:p>
            <w:pPr>
              <w:rPr>
                <w:rFonts w:asciiTheme="minorHAnsi" w:hAnsiTheme="minorHAnsi" w:cstheme="minorHAnsi"/>
              </w:rPr>
            </w:pPr>
            <w:r>
              <w:rPr>
                <w:rFonts w:asciiTheme="minorHAnsi" w:hAnsiTheme="minorHAnsi" w:cstheme="minorHAnsi"/>
              </w:rPr>
              <w:t>NB: Base = always the last assessment carried out.</w:t>
            </w:r>
          </w:p>
          <w:p>
            <w:pPr>
              <w:rPr>
                <w:rFonts w:asciiTheme="minorHAnsi" w:hAnsiTheme="minorHAnsi" w:cstheme="minorHAnsi"/>
              </w:rPr>
            </w:pPr>
          </w:p>
          <w:p>
            <w:pPr>
              <w:rPr>
                <w:rFonts w:asciiTheme="minorHAnsi" w:hAnsiTheme="minorHAnsi" w:cstheme="minorHAnsi"/>
              </w:rPr>
            </w:pPr>
            <w:r>
              <w:rPr>
                <w:rFonts w:asciiTheme="minorHAnsi" w:hAnsiTheme="minorHAnsi" w:cstheme="minorHAnsi"/>
              </w:rPr>
              <w:t>Last academic year, there was a focus on writing in Y3/4/5 with extra writing lessons, focusing on how we write and what we write. As a knock-on effect, positive progress is being seen across these year groups.</w:t>
            </w:r>
          </w:p>
          <w:p>
            <w:pPr>
              <w:rPr>
                <w:rFonts w:asciiTheme="minorHAnsi" w:hAnsiTheme="minorHAnsi" w:cstheme="minorHAnsi"/>
              </w:rPr>
            </w:pPr>
          </w:p>
          <w:p>
            <w:pPr>
              <w:rPr>
                <w:rFonts w:ascii="Calibri" w:hAnsi="Calibri"/>
              </w:rPr>
            </w:pPr>
          </w:p>
        </w:tc>
      </w:tr>
      <w:tr>
        <w:trPr>
          <w:trHeight w:val="288"/>
        </w:trPr>
        <w:tc>
          <w:tcPr>
            <w:tcW w:w="10314" w:type="dxa"/>
            <w:gridSpan w:val="5"/>
          </w:tcPr>
          <w:p>
            <w:pPr>
              <w:rPr>
                <w:rFonts w:ascii="Calibri" w:hAnsi="Calibri"/>
                <w:u w:val="single"/>
              </w:rPr>
            </w:pPr>
            <w:r>
              <w:rPr>
                <w:rFonts w:ascii="Calibri" w:hAnsi="Calibri"/>
                <w:u w:val="single"/>
              </w:rPr>
              <w:lastRenderedPageBreak/>
              <w:t xml:space="preserve">Key Issues/Actions for GB: </w:t>
            </w:r>
          </w:p>
          <w:p>
            <w:pPr>
              <w:rPr>
                <w:rFonts w:ascii="Calibri" w:hAnsi="Calibri"/>
              </w:rPr>
            </w:pPr>
          </w:p>
          <w:p>
            <w:pPr>
              <w:pStyle w:val="ListParagraph"/>
              <w:numPr>
                <w:ilvl w:val="0"/>
                <w:numId w:val="3"/>
              </w:numPr>
              <w:rPr>
                <w:rFonts w:ascii="Calibri" w:hAnsi="Calibri"/>
              </w:rPr>
            </w:pPr>
            <w:r>
              <w:rPr>
                <w:rFonts w:ascii="Calibri" w:hAnsi="Calibri"/>
              </w:rPr>
              <w:t>Y4 Maths – steps in place to improve performance – Governors to further monitor data in Y4 spring data and further discuss with IW. Focus areas identified for teaching. Maths Lead has offered additional CPD and assessment lead have put additional meetings in place to address the issues and be more prepared for next assessment.</w:t>
            </w:r>
            <w:r>
              <w:rPr>
                <w:rFonts w:ascii="Calibri" w:hAnsi="Calibri"/>
              </w:rPr>
              <w:br/>
            </w:r>
          </w:p>
          <w:p>
            <w:pPr>
              <w:pStyle w:val="ListParagraph"/>
              <w:numPr>
                <w:ilvl w:val="0"/>
                <w:numId w:val="3"/>
              </w:numPr>
              <w:rPr>
                <w:rFonts w:ascii="Calibri" w:hAnsi="Calibri"/>
              </w:rPr>
            </w:pPr>
            <w:r>
              <w:rPr>
                <w:rFonts w:ascii="Calibri" w:hAnsi="Calibri"/>
              </w:rPr>
              <w:t>Y6 has a wide range of abilities with a high GD in reading, writing, and maths. The other end of the scale, there are 7 children who need significant support (DP, SEN and EAL). A class divided equally into three parts is quite unusual. Adequate support in place in the classroom. Govs to monitor this difficult situation and review in next Monitoring and FGB.</w:t>
            </w:r>
            <w:r>
              <w:rPr>
                <w:rFonts w:ascii="Calibri" w:hAnsi="Calibri"/>
              </w:rPr>
              <w:br/>
            </w:r>
          </w:p>
          <w:p>
            <w:pPr>
              <w:pStyle w:val="ListParagraph"/>
              <w:numPr>
                <w:ilvl w:val="0"/>
                <w:numId w:val="3"/>
              </w:numPr>
              <w:rPr>
                <w:rFonts w:ascii="Calibri" w:hAnsi="Calibri"/>
              </w:rPr>
            </w:pPr>
            <w:r>
              <w:rPr>
                <w:rFonts w:ascii="Calibri" w:hAnsi="Calibri"/>
              </w:rPr>
              <w:t>Next session to focus on attainment and progress against SDP 3 Year Plan - when we have a clearer picture.</w:t>
            </w:r>
            <w:r>
              <w:rPr>
                <w:rFonts w:ascii="Calibri" w:hAnsi="Calibri"/>
              </w:rPr>
              <w:br/>
            </w:r>
          </w:p>
          <w:p>
            <w:pPr>
              <w:rPr>
                <w:rFonts w:ascii="Calibri" w:hAnsi="Calibri"/>
              </w:rPr>
            </w:pPr>
          </w:p>
          <w:p>
            <w:pPr>
              <w:rPr>
                <w:rFonts w:asciiTheme="minorHAnsi" w:hAnsiTheme="minorHAnsi" w:cstheme="minorHAnsi"/>
              </w:rPr>
            </w:pPr>
          </w:p>
          <w:p>
            <w:pPr>
              <w:rPr>
                <w:rFonts w:ascii="Calibri" w:hAnsi="Calibri"/>
              </w:rPr>
            </w:pPr>
          </w:p>
        </w:tc>
      </w:tr>
      <w:tr>
        <w:trPr>
          <w:trHeight w:val="288"/>
        </w:trPr>
        <w:tc>
          <w:tcPr>
            <w:tcW w:w="10314" w:type="dxa"/>
            <w:gridSpan w:val="5"/>
          </w:tcPr>
          <w:p>
            <w:pPr>
              <w:rPr>
                <w:rFonts w:ascii="Calibri" w:hAnsi="Calibri"/>
              </w:rPr>
            </w:pPr>
            <w:r>
              <w:rPr>
                <w:rFonts w:ascii="Calibri" w:hAnsi="Calibri"/>
              </w:rPr>
              <w:t>Action agreed in GB meeting with regard to visit:</w:t>
            </w:r>
          </w:p>
          <w:p>
            <w:pPr>
              <w:rPr>
                <w:rFonts w:ascii="Calibri" w:hAnsi="Calibri"/>
              </w:rPr>
            </w:pPr>
          </w:p>
          <w:p>
            <w:pPr>
              <w:rPr>
                <w:rFonts w:ascii="Calibri" w:hAnsi="Calibri"/>
              </w:rPr>
            </w:pPr>
          </w:p>
        </w:tc>
      </w:tr>
    </w:tbl>
    <w:p>
      <w:pPr>
        <w:rPr>
          <w:rFonts w:ascii="Calibri" w:hAnsi="Calibri"/>
          <w:b/>
          <w:sz w:val="28"/>
          <w:szCs w:val="28"/>
          <w:u w:val="single"/>
        </w:rPr>
      </w:pPr>
    </w:p>
    <w:p/>
    <w:sectPr>
      <w:pgSz w:w="12240" w:h="15840"/>
      <w:pgMar w:top="284" w:right="851"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EC2798"/>
    <w:multiLevelType w:val="hybridMultilevel"/>
    <w:tmpl w:val="39C00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A3C5CDE"/>
    <w:multiLevelType w:val="hybridMultilevel"/>
    <w:tmpl w:val="328EF1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EB36D34"/>
    <w:multiLevelType w:val="hybridMultilevel"/>
    <w:tmpl w:val="71D0C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34B64A47-EF03-47B4-9E6E-6CB1E1462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rPr>
      <w:rFonts w:asciiTheme="minorHAnsi" w:eastAsiaTheme="minorHAnsi" w:hAnsiTheme="minorHAnsi" w:cstheme="minorBidi"/>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706</Words>
  <Characters>4030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Philippa Assender</dc:creator>
  <cp:keywords/>
  <dc:description/>
  <cp:lastModifiedBy>Nutfield Church Primary School Office</cp:lastModifiedBy>
  <cp:revision>2</cp:revision>
  <dcterms:created xsi:type="dcterms:W3CDTF">2023-02-27T10:49:00Z</dcterms:created>
  <dcterms:modified xsi:type="dcterms:W3CDTF">2023-02-27T10:49:00Z</dcterms:modified>
</cp:coreProperties>
</file>