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Calibri" w:hAnsi="Calibri"/>
          <w:b/>
          <w:sz w:val="36"/>
          <w:szCs w:val="36"/>
        </w:rPr>
      </w:pPr>
      <w:r>
        <w:rPr>
          <w:rFonts w:ascii="Calibri" w:hAnsi="Calibri"/>
          <w:b/>
          <w:sz w:val="28"/>
          <w:szCs w:val="28"/>
          <w:u w:val="single"/>
        </w:rPr>
        <w:t>Nutfield Church (C of E) School</w:t>
      </w:r>
    </w:p>
    <w:p>
      <w:pPr>
        <w:jc w:val="center"/>
        <w:rPr>
          <w:rFonts w:ascii="Calibri" w:hAnsi="Calibri"/>
          <w:b/>
          <w:u w:val="single"/>
        </w:rPr>
      </w:pPr>
      <w:r>
        <w:rPr>
          <w:rFonts w:ascii="Calibri" w:hAnsi="Calibri"/>
          <w:b/>
        </w:rPr>
        <w:object w:dxaOrig="8114" w:dyaOrig="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5pt;height:44.75pt" o:ole="">
            <v:imagedata r:id="rId4" o:title=""/>
          </v:shape>
          <o:OLEObject Type="Embed" ProgID="MSPhotoEd.3" ShapeID="_x0000_i1025" DrawAspect="Content" ObjectID="_1743506805" r:id="rId5"/>
        </w:object>
      </w:r>
    </w:p>
    <w:p>
      <w:pPr>
        <w:jc w:val="center"/>
        <w:rPr>
          <w:rFonts w:ascii="Calibri" w:hAnsi="Calibri"/>
          <w:b/>
          <w:u w:val="single"/>
        </w:rPr>
      </w:pPr>
      <w:r>
        <w:rPr>
          <w:rFonts w:ascii="Calibri" w:hAnsi="Calibri"/>
          <w:b/>
          <w:u w:val="single"/>
        </w:rPr>
        <w:t xml:space="preserve">GOVERNOR MONITORING  </w:t>
      </w:r>
    </w:p>
    <w:p>
      <w:pPr>
        <w:jc w:val="center"/>
        <w:rPr>
          <w:rFonts w:ascii="Calibri" w:hAnsi="Calibri"/>
          <w:b/>
          <w:sz w:val="22"/>
          <w:szCs w:val="22"/>
        </w:rPr>
      </w:pPr>
      <w:r>
        <w:rPr>
          <w:rFonts w:ascii="Calibri" w:hAnsi="Calibri"/>
          <w:b/>
          <w:sz w:val="22"/>
          <w:szCs w:val="22"/>
        </w:rPr>
        <w:t xml:space="preserve">COMMUNITY, PEACE, WISDOM, HOPE, DIGNITY, JOY </w:t>
      </w:r>
    </w:p>
    <w:p>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tc>
          <w:tcPr>
            <w:tcW w:w="5389" w:type="dxa"/>
            <w:gridSpan w:val="3"/>
            <w:tcBorders>
              <w:right w:val="single" w:sz="12" w:space="0" w:color="000000"/>
            </w:tcBorders>
          </w:tcPr>
          <w:p>
            <w:pPr>
              <w:rPr>
                <w:rFonts w:ascii="Calibri" w:hAnsi="Calibri"/>
              </w:rPr>
            </w:pPr>
            <w:r>
              <w:rPr>
                <w:rFonts w:ascii="Calibri" w:hAnsi="Calibri"/>
              </w:rPr>
              <w:t>Name of Governor: Diane Martin</w:t>
            </w:r>
          </w:p>
          <w:p>
            <w:pPr>
              <w:rPr>
                <w:rFonts w:ascii="Calibri" w:hAnsi="Calibri"/>
              </w:rPr>
            </w:pPr>
          </w:p>
        </w:tc>
        <w:tc>
          <w:tcPr>
            <w:tcW w:w="4925" w:type="dxa"/>
            <w:gridSpan w:val="2"/>
            <w:tcBorders>
              <w:left w:val="single" w:sz="12" w:space="0" w:color="000000"/>
            </w:tcBorders>
          </w:tcPr>
          <w:p>
            <w:pPr>
              <w:rPr>
                <w:rFonts w:ascii="Calibri" w:hAnsi="Calibri"/>
              </w:rPr>
            </w:pPr>
            <w:r>
              <w:rPr>
                <w:rFonts w:ascii="Calibri" w:hAnsi="Calibri"/>
              </w:rPr>
              <w:t>Date: 03/03/2023</w:t>
            </w:r>
          </w:p>
        </w:tc>
      </w:tr>
      <w:tr>
        <w:trPr>
          <w:trHeight w:val="391"/>
        </w:trPr>
        <w:tc>
          <w:tcPr>
            <w:tcW w:w="10314" w:type="dxa"/>
            <w:gridSpan w:val="5"/>
            <w:tcBorders>
              <w:bottom w:val="single" w:sz="4" w:space="0" w:color="000000"/>
            </w:tcBorders>
          </w:tcPr>
          <w:p>
            <w:pPr>
              <w:rPr>
                <w:rFonts w:ascii="Calibri" w:hAnsi="Calibri"/>
              </w:rPr>
            </w:pPr>
            <w:r>
              <w:rPr>
                <w:rFonts w:ascii="Calibri" w:hAnsi="Calibri"/>
              </w:rPr>
              <w:t>Focus Area(s):Safeguarding Audit</w:t>
            </w: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SIAMS</w:t>
            </w:r>
          </w:p>
        </w:tc>
        <w:tc>
          <w:tcPr>
            <w:tcW w:w="2092" w:type="dxa"/>
            <w:shd w:val="clear" w:color="auto" w:fill="auto"/>
          </w:tcPr>
          <w:p>
            <w:pPr>
              <w:rPr>
                <w:rFonts w:ascii="Calibri" w:hAnsi="Calibri"/>
                <w:sz w:val="22"/>
                <w:szCs w:val="22"/>
              </w:rPr>
            </w:pPr>
            <w:r>
              <w:rPr>
                <w:rFonts w:ascii="Calibri" w:hAnsi="Calibri"/>
                <w:sz w:val="22"/>
                <w:szCs w:val="22"/>
              </w:rPr>
              <w:t>Vision and Leadership  X</w:t>
            </w:r>
          </w:p>
        </w:tc>
        <w:tc>
          <w:tcPr>
            <w:tcW w:w="2306" w:type="dxa"/>
            <w:shd w:val="clear" w:color="auto" w:fill="auto"/>
          </w:tcPr>
          <w:p>
            <w:pPr>
              <w:rPr>
                <w:rFonts w:ascii="Calibri" w:hAnsi="Calibri"/>
                <w:sz w:val="22"/>
                <w:szCs w:val="22"/>
              </w:rPr>
            </w:pPr>
            <w:r>
              <w:rPr>
                <w:rFonts w:ascii="Calibri" w:hAnsi="Calibri"/>
                <w:sz w:val="22"/>
                <w:szCs w:val="22"/>
              </w:rPr>
              <w:t>Wisdom, Knowledge and Skills  X</w:t>
            </w:r>
          </w:p>
        </w:tc>
        <w:tc>
          <w:tcPr>
            <w:tcW w:w="2549" w:type="dxa"/>
            <w:shd w:val="clear" w:color="auto" w:fill="auto"/>
          </w:tcPr>
          <w:p>
            <w:pPr>
              <w:rPr>
                <w:rFonts w:ascii="Calibri" w:hAnsi="Calibri"/>
                <w:sz w:val="22"/>
                <w:szCs w:val="22"/>
              </w:rPr>
            </w:pPr>
            <w:r>
              <w:rPr>
                <w:rFonts w:ascii="Calibri" w:hAnsi="Calibri"/>
                <w:sz w:val="22"/>
                <w:szCs w:val="22"/>
              </w:rPr>
              <w:t xml:space="preserve">Character </w:t>
            </w:r>
            <w:proofErr w:type="spellStart"/>
            <w:r>
              <w:rPr>
                <w:rFonts w:ascii="Calibri" w:hAnsi="Calibri"/>
                <w:sz w:val="22"/>
                <w:szCs w:val="22"/>
              </w:rPr>
              <w:t>XDevelopment</w:t>
            </w:r>
            <w:proofErr w:type="spellEnd"/>
          </w:p>
        </w:tc>
        <w:tc>
          <w:tcPr>
            <w:tcW w:w="2376" w:type="dxa"/>
            <w:shd w:val="clear" w:color="auto" w:fill="auto"/>
          </w:tcPr>
          <w:p>
            <w:pPr>
              <w:rPr>
                <w:rFonts w:ascii="Calibri" w:hAnsi="Calibri"/>
                <w:sz w:val="22"/>
                <w:szCs w:val="22"/>
              </w:rPr>
            </w:pPr>
            <w:r>
              <w:rPr>
                <w:rFonts w:ascii="Calibri" w:hAnsi="Calibri"/>
                <w:sz w:val="22"/>
                <w:szCs w:val="22"/>
              </w:rPr>
              <w:t>Community and Living Well Together X</w:t>
            </w:r>
          </w:p>
        </w:tc>
      </w:tr>
      <w:tr>
        <w:trPr>
          <w:trHeight w:val="292"/>
        </w:trPr>
        <w:tc>
          <w:tcPr>
            <w:tcW w:w="991" w:type="dxa"/>
            <w:tcBorders>
              <w:top w:val="single" w:sz="12" w:space="0" w:color="000000"/>
              <w:right w:val="single" w:sz="12" w:space="0" w:color="000000"/>
            </w:tcBorders>
          </w:tcPr>
          <w:p>
            <w:pPr>
              <w:rPr>
                <w:rFonts w:ascii="Calibri" w:hAnsi="Calibri"/>
                <w:b/>
              </w:rPr>
            </w:pPr>
          </w:p>
        </w:tc>
        <w:tc>
          <w:tcPr>
            <w:tcW w:w="2092" w:type="dxa"/>
            <w:shd w:val="clear" w:color="auto" w:fill="auto"/>
          </w:tcPr>
          <w:p>
            <w:pPr>
              <w:rPr>
                <w:rFonts w:ascii="Calibri" w:hAnsi="Calibri"/>
                <w:sz w:val="22"/>
                <w:szCs w:val="22"/>
              </w:rPr>
            </w:pPr>
            <w:r>
              <w:rPr>
                <w:rFonts w:ascii="Calibri" w:hAnsi="Calibri"/>
                <w:sz w:val="22"/>
                <w:szCs w:val="22"/>
              </w:rPr>
              <w:t>Dignity and Respect X</w:t>
            </w:r>
          </w:p>
        </w:tc>
        <w:tc>
          <w:tcPr>
            <w:tcW w:w="2306" w:type="dxa"/>
            <w:shd w:val="clear" w:color="auto" w:fill="auto"/>
          </w:tcPr>
          <w:p>
            <w:pPr>
              <w:rPr>
                <w:rFonts w:ascii="Calibri" w:hAnsi="Calibri"/>
                <w:sz w:val="22"/>
                <w:szCs w:val="22"/>
              </w:rPr>
            </w:pPr>
            <w:r>
              <w:rPr>
                <w:rFonts w:ascii="Calibri" w:hAnsi="Calibri"/>
                <w:sz w:val="22"/>
                <w:szCs w:val="22"/>
              </w:rPr>
              <w:t>Collective Worship X</w:t>
            </w:r>
          </w:p>
        </w:tc>
        <w:tc>
          <w:tcPr>
            <w:tcW w:w="2549" w:type="dxa"/>
            <w:shd w:val="clear" w:color="auto" w:fill="auto"/>
          </w:tcPr>
          <w:p>
            <w:pPr>
              <w:rPr>
                <w:rFonts w:ascii="Calibri" w:hAnsi="Calibri"/>
                <w:sz w:val="22"/>
                <w:szCs w:val="22"/>
              </w:rPr>
            </w:pPr>
            <w:r>
              <w:rPr>
                <w:rFonts w:ascii="Calibri" w:hAnsi="Calibri"/>
                <w:sz w:val="22"/>
                <w:szCs w:val="22"/>
              </w:rPr>
              <w:t>Religious Education X</w:t>
            </w:r>
          </w:p>
        </w:tc>
        <w:tc>
          <w:tcPr>
            <w:tcW w:w="2376" w:type="dxa"/>
            <w:shd w:val="clear" w:color="auto" w:fill="auto"/>
          </w:tcPr>
          <w:p>
            <w:pPr>
              <w:rPr>
                <w:rFonts w:ascii="Calibri" w:hAnsi="Calibri"/>
                <w:sz w:val="22"/>
                <w:szCs w:val="22"/>
              </w:rPr>
            </w:pP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OFSTED</w:t>
            </w:r>
          </w:p>
        </w:tc>
        <w:tc>
          <w:tcPr>
            <w:tcW w:w="2092" w:type="dxa"/>
            <w:shd w:val="clear" w:color="auto" w:fill="auto"/>
          </w:tcPr>
          <w:p>
            <w:pPr>
              <w:rPr>
                <w:rFonts w:ascii="Calibri" w:hAnsi="Calibri"/>
                <w:sz w:val="22"/>
                <w:szCs w:val="22"/>
              </w:rPr>
            </w:pPr>
            <w:r>
              <w:rPr>
                <w:rFonts w:ascii="Calibri" w:hAnsi="Calibri"/>
                <w:sz w:val="22"/>
                <w:szCs w:val="22"/>
              </w:rPr>
              <w:t>Quality of Education</w:t>
            </w:r>
          </w:p>
          <w:p>
            <w:pPr>
              <w:rPr>
                <w:rFonts w:ascii="Calibri" w:hAnsi="Calibri"/>
                <w:sz w:val="22"/>
                <w:szCs w:val="22"/>
              </w:rPr>
            </w:pPr>
            <w:r>
              <w:rPr>
                <w:rFonts w:ascii="Calibri" w:hAnsi="Calibri"/>
                <w:sz w:val="22"/>
                <w:szCs w:val="22"/>
              </w:rPr>
              <w:t xml:space="preserve">X </w:t>
            </w:r>
          </w:p>
        </w:tc>
        <w:tc>
          <w:tcPr>
            <w:tcW w:w="2306" w:type="dxa"/>
            <w:shd w:val="clear" w:color="auto" w:fill="auto"/>
          </w:tcPr>
          <w:p>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X</w:t>
            </w:r>
          </w:p>
        </w:tc>
        <w:tc>
          <w:tcPr>
            <w:tcW w:w="2549" w:type="dxa"/>
            <w:shd w:val="clear" w:color="auto" w:fill="auto"/>
          </w:tcPr>
          <w:p>
            <w:pPr>
              <w:rPr>
                <w:rFonts w:ascii="Calibri" w:hAnsi="Calibri"/>
                <w:sz w:val="22"/>
                <w:szCs w:val="22"/>
              </w:rPr>
            </w:pPr>
            <w:r>
              <w:rPr>
                <w:rFonts w:ascii="Calibri" w:hAnsi="Calibri"/>
                <w:sz w:val="22"/>
                <w:szCs w:val="22"/>
              </w:rPr>
              <w:t>Personal Development   X</w:t>
            </w:r>
          </w:p>
        </w:tc>
        <w:tc>
          <w:tcPr>
            <w:tcW w:w="2376" w:type="dxa"/>
            <w:shd w:val="clear" w:color="auto" w:fill="auto"/>
          </w:tcPr>
          <w:p>
            <w:pPr>
              <w:rPr>
                <w:rFonts w:ascii="Calibri" w:hAnsi="Calibri"/>
                <w:sz w:val="22"/>
                <w:szCs w:val="22"/>
              </w:rPr>
            </w:pPr>
            <w:r>
              <w:rPr>
                <w:rFonts w:ascii="Calibri" w:hAnsi="Calibri"/>
                <w:sz w:val="22"/>
                <w:szCs w:val="22"/>
              </w:rPr>
              <w:t>Leadership and Management  X</w:t>
            </w:r>
          </w:p>
        </w:tc>
      </w:tr>
      <w:tr>
        <w:trPr>
          <w:trHeight w:val="288"/>
        </w:trPr>
        <w:tc>
          <w:tcPr>
            <w:tcW w:w="10314" w:type="dxa"/>
            <w:gridSpan w:val="5"/>
          </w:tcPr>
          <w:p>
            <w:pPr>
              <w:rPr>
                <w:rFonts w:ascii="Calibri" w:hAnsi="Calibri"/>
              </w:rPr>
            </w:pPr>
            <w:r>
              <w:rPr>
                <w:rFonts w:ascii="Calibri" w:hAnsi="Calibri"/>
              </w:rPr>
              <w:t xml:space="preserve">Any safeguarding Issues: </w:t>
            </w:r>
          </w:p>
        </w:tc>
      </w:tr>
      <w:tr>
        <w:trPr>
          <w:trHeight w:val="288"/>
        </w:trPr>
        <w:tc>
          <w:tcPr>
            <w:tcW w:w="10314" w:type="dxa"/>
            <w:gridSpan w:val="5"/>
          </w:tcPr>
          <w:p>
            <w:pPr>
              <w:rPr>
                <w:rFonts w:ascii="Calibri" w:hAnsi="Calibri"/>
              </w:rPr>
            </w:pPr>
            <w:r>
              <w:rPr>
                <w:rFonts w:ascii="Calibri" w:hAnsi="Calibri"/>
              </w:rPr>
              <w:t>Governor comments:</w:t>
            </w:r>
          </w:p>
          <w:p>
            <w:pPr>
              <w:rPr>
                <w:rFonts w:ascii="Calibri" w:hAnsi="Calibri"/>
              </w:rPr>
            </w:pPr>
          </w:p>
          <w:p>
            <w:pPr>
              <w:rPr>
                <w:sz w:val="28"/>
                <w:szCs w:val="28"/>
              </w:rPr>
            </w:pPr>
            <w:r>
              <w:rPr>
                <w:sz w:val="28"/>
                <w:szCs w:val="28"/>
              </w:rPr>
              <w:t>The session was devoted to online safety. It was a very interesting and informative session thanks to Daisy Mitchell.</w:t>
            </w:r>
          </w:p>
          <w:p>
            <w:pPr>
              <w:rPr>
                <w:sz w:val="28"/>
                <w:szCs w:val="28"/>
                <w:u w:val="single"/>
              </w:rPr>
            </w:pPr>
            <w:r>
              <w:rPr>
                <w:sz w:val="28"/>
                <w:szCs w:val="28"/>
                <w:u w:val="single"/>
              </w:rPr>
              <w:t>The Online Safety Policy.</w:t>
            </w:r>
          </w:p>
          <w:p>
            <w:pPr>
              <w:rPr>
                <w:sz w:val="28"/>
                <w:szCs w:val="28"/>
              </w:rPr>
            </w:pPr>
            <w:r>
              <w:rPr>
                <w:sz w:val="28"/>
                <w:szCs w:val="28"/>
              </w:rPr>
              <w:t xml:space="preserve">This was reviewed in the summer in line with the updated KCSIE. It is very thorough and covers all aspects of safety and care. </w:t>
            </w:r>
          </w:p>
          <w:p>
            <w:pPr>
              <w:rPr>
                <w:sz w:val="28"/>
                <w:szCs w:val="28"/>
              </w:rPr>
            </w:pPr>
            <w:r>
              <w:rPr>
                <w:sz w:val="28"/>
                <w:szCs w:val="28"/>
              </w:rPr>
              <w:t>The relevant and appropriate points were talked through with the pupils and a webpage is available with links for parents.</w:t>
            </w:r>
          </w:p>
          <w:p>
            <w:pPr>
              <w:rPr>
                <w:sz w:val="28"/>
                <w:szCs w:val="28"/>
              </w:rPr>
            </w:pPr>
            <w:r>
              <w:rPr>
                <w:sz w:val="28"/>
                <w:szCs w:val="28"/>
              </w:rPr>
              <w:t>An online guidance is available and in addition sections on use by staff, governors and volunteers are in place.</w:t>
            </w:r>
          </w:p>
          <w:p>
            <w:pPr>
              <w:rPr>
                <w:sz w:val="28"/>
                <w:szCs w:val="28"/>
                <w:u w:val="single"/>
              </w:rPr>
            </w:pPr>
            <w:r>
              <w:rPr>
                <w:sz w:val="28"/>
                <w:szCs w:val="28"/>
                <w:u w:val="single"/>
              </w:rPr>
              <w:t>The Apple Classroom</w:t>
            </w:r>
          </w:p>
          <w:p>
            <w:pPr>
              <w:rPr>
                <w:sz w:val="28"/>
                <w:szCs w:val="28"/>
              </w:rPr>
            </w:pPr>
            <w:r>
              <w:rPr>
                <w:sz w:val="28"/>
                <w:szCs w:val="28"/>
              </w:rPr>
              <w:t>32 iPads are now available for class groups and individual teachers sign them out and they are taken to the classroom as needed, on a trolley and locked away when not in use. This is known as the Apple classroom.</w:t>
            </w:r>
          </w:p>
          <w:p>
            <w:pPr>
              <w:rPr>
                <w:sz w:val="28"/>
                <w:szCs w:val="28"/>
              </w:rPr>
            </w:pPr>
            <w:r>
              <w:rPr>
                <w:sz w:val="28"/>
                <w:szCs w:val="28"/>
              </w:rPr>
              <w:t xml:space="preserve">The teacher has a monitor screen where they can see all the pupils' screens and there are things automatically picked up </w:t>
            </w:r>
            <w:bookmarkStart w:id="0" w:name="_Int_6Gs3lzdR"/>
            <w:r>
              <w:rPr>
                <w:sz w:val="28"/>
                <w:szCs w:val="28"/>
              </w:rPr>
              <w:t>e.g.</w:t>
            </w:r>
            <w:bookmarkEnd w:id="0"/>
            <w:r>
              <w:rPr>
                <w:sz w:val="28"/>
                <w:szCs w:val="28"/>
              </w:rPr>
              <w:t xml:space="preserve"> swearing and other numerous suspicious or concerning words or phrases and conversations.</w:t>
            </w:r>
          </w:p>
          <w:p>
            <w:pPr>
              <w:rPr>
                <w:sz w:val="28"/>
                <w:szCs w:val="28"/>
                <w:u w:val="single"/>
              </w:rPr>
            </w:pPr>
            <w:proofErr w:type="spellStart"/>
            <w:r>
              <w:rPr>
                <w:sz w:val="28"/>
                <w:szCs w:val="28"/>
                <w:u w:val="single"/>
              </w:rPr>
              <w:t>Newsround</w:t>
            </w:r>
            <w:proofErr w:type="spellEnd"/>
            <w:r>
              <w:rPr>
                <w:sz w:val="28"/>
                <w:szCs w:val="28"/>
                <w:u w:val="single"/>
              </w:rPr>
              <w:t xml:space="preserve"> </w:t>
            </w:r>
          </w:p>
          <w:p>
            <w:pPr>
              <w:rPr>
                <w:sz w:val="28"/>
                <w:szCs w:val="28"/>
              </w:rPr>
            </w:pPr>
            <w:proofErr w:type="gramStart"/>
            <w:r>
              <w:rPr>
                <w:sz w:val="28"/>
                <w:szCs w:val="28"/>
                <w:u w:val="single"/>
              </w:rPr>
              <w:t>i</w:t>
            </w:r>
            <w:r>
              <w:rPr>
                <w:sz w:val="28"/>
                <w:szCs w:val="28"/>
              </w:rPr>
              <w:t>s</w:t>
            </w:r>
            <w:proofErr w:type="gramEnd"/>
            <w:r>
              <w:rPr>
                <w:sz w:val="28"/>
                <w:szCs w:val="28"/>
              </w:rPr>
              <w:t xml:space="preserve"> watched at times but not daily and concerns re news e.g. news on Ukraine is not watched as required and relevant with pupils. </w:t>
            </w:r>
          </w:p>
          <w:p>
            <w:pPr>
              <w:rPr>
                <w:sz w:val="28"/>
                <w:szCs w:val="28"/>
                <w:u w:val="single"/>
              </w:rPr>
            </w:pPr>
            <w:r>
              <w:rPr>
                <w:sz w:val="28"/>
                <w:szCs w:val="28"/>
                <w:u w:val="single"/>
              </w:rPr>
              <w:t xml:space="preserve">On line bullying reports </w:t>
            </w:r>
          </w:p>
          <w:p>
            <w:pPr>
              <w:rPr>
                <w:sz w:val="28"/>
                <w:szCs w:val="28"/>
              </w:rPr>
            </w:pPr>
            <w:proofErr w:type="gramStart"/>
            <w:r>
              <w:rPr>
                <w:sz w:val="28"/>
                <w:szCs w:val="28"/>
              </w:rPr>
              <w:t>can</w:t>
            </w:r>
            <w:proofErr w:type="gramEnd"/>
            <w:r>
              <w:rPr>
                <w:sz w:val="28"/>
                <w:szCs w:val="28"/>
              </w:rPr>
              <w:t xml:space="preserve"> be taken up and dealt with directly with pupils and when considered necessary parents can be</w:t>
            </w:r>
            <w:r>
              <w:rPr>
                <w:sz w:val="28"/>
                <w:szCs w:val="28"/>
                <w:u w:val="single"/>
              </w:rPr>
              <w:t xml:space="preserve"> </w:t>
            </w:r>
            <w:r>
              <w:rPr>
                <w:sz w:val="28"/>
                <w:szCs w:val="28"/>
              </w:rPr>
              <w:t>involved. Currently there are none.</w:t>
            </w:r>
          </w:p>
          <w:p>
            <w:pPr>
              <w:rPr>
                <w:sz w:val="28"/>
                <w:szCs w:val="28"/>
                <w:u w:val="single"/>
              </w:rPr>
            </w:pPr>
            <w:r>
              <w:rPr>
                <w:sz w:val="28"/>
                <w:szCs w:val="28"/>
                <w:u w:val="single"/>
              </w:rPr>
              <w:t xml:space="preserve">In class IT information </w:t>
            </w:r>
          </w:p>
          <w:p>
            <w:pPr>
              <w:rPr>
                <w:sz w:val="28"/>
                <w:szCs w:val="28"/>
              </w:rPr>
            </w:pPr>
            <w:r>
              <w:rPr>
                <w:sz w:val="28"/>
                <w:szCs w:val="28"/>
              </w:rPr>
              <w:t>There is an overview with Science, Design Technology and Computing combined in one section. This includes safeguarding and years 1 and 2 are controlled by a Purple Mash system and</w:t>
            </w:r>
            <w:r>
              <w:rPr>
                <w:color w:val="00B050"/>
                <w:sz w:val="28"/>
                <w:szCs w:val="28"/>
              </w:rPr>
              <w:t xml:space="preserve"> </w:t>
            </w:r>
            <w:r>
              <w:rPr>
                <w:sz w:val="28"/>
                <w:szCs w:val="28"/>
              </w:rPr>
              <w:t xml:space="preserve">pupils are told what they must do and children are set work through the Teachers accounts. </w:t>
            </w:r>
          </w:p>
          <w:p>
            <w:pPr>
              <w:rPr>
                <w:sz w:val="28"/>
                <w:szCs w:val="28"/>
              </w:rPr>
            </w:pPr>
            <w:r>
              <w:rPr>
                <w:sz w:val="28"/>
                <w:szCs w:val="28"/>
              </w:rPr>
              <w:t>Years 3</w:t>
            </w:r>
            <w:proofErr w:type="gramStart"/>
            <w:r>
              <w:rPr>
                <w:sz w:val="28"/>
                <w:szCs w:val="28"/>
              </w:rPr>
              <w:t>,4,5</w:t>
            </w:r>
            <w:proofErr w:type="gramEnd"/>
            <w:r>
              <w:rPr>
                <w:sz w:val="28"/>
                <w:szCs w:val="28"/>
              </w:rPr>
              <w:t xml:space="preserve"> and 6 Have a new system in place since Sept 2022. It includes a google and parent zone.</w:t>
            </w:r>
          </w:p>
          <w:p>
            <w:pPr>
              <w:rPr>
                <w:sz w:val="28"/>
                <w:szCs w:val="28"/>
              </w:rPr>
            </w:pPr>
            <w:r>
              <w:rPr>
                <w:sz w:val="28"/>
                <w:szCs w:val="28"/>
              </w:rPr>
              <w:lastRenderedPageBreak/>
              <w:t>The system is a plan of all lessons to follow for the year in the 3 subjects. Safeguarding has 3 lessons available for each year when specific Safeguarding topics are taught and discussed. It is known as the BT Internet Legend. Exercise books are used and include work done in the 3 subjects and contain detailed topics and games.</w:t>
            </w:r>
          </w:p>
          <w:p>
            <w:pPr>
              <w:rPr>
                <w:sz w:val="28"/>
                <w:szCs w:val="28"/>
                <w:u w:val="single"/>
              </w:rPr>
            </w:pPr>
            <w:r>
              <w:rPr>
                <w:sz w:val="28"/>
                <w:szCs w:val="28"/>
                <w:u w:val="single"/>
              </w:rPr>
              <w:t xml:space="preserve">Digital well being </w:t>
            </w:r>
          </w:p>
          <w:p>
            <w:pPr>
              <w:rPr>
                <w:sz w:val="28"/>
                <w:szCs w:val="28"/>
              </w:rPr>
            </w:pPr>
            <w:r>
              <w:rPr>
                <w:sz w:val="28"/>
                <w:szCs w:val="28"/>
              </w:rPr>
              <w:t xml:space="preserve">Digital Wellbeing is taught as part of the Science, Computing and Design and Technology curriculum. This work is put into children's books. Online safety advice is well covered in these lessons. Digital wellbeing is also covered during the Wellbeing curriculum and is placed into the whole class wellbeing books. </w:t>
            </w:r>
          </w:p>
          <w:p>
            <w:pPr>
              <w:rPr>
                <w:rFonts w:ascii="Calibri" w:hAnsi="Calibri"/>
              </w:rPr>
            </w:pPr>
            <w:r>
              <w:rPr>
                <w:sz w:val="28"/>
                <w:szCs w:val="28"/>
              </w:rPr>
              <w:t xml:space="preserve">Online safety was highlighted during lockdown as the children were all working online through home learning, the school used this to enhance the online safety curriculum. </w:t>
            </w:r>
            <w:bookmarkStart w:id="1" w:name="_GoBack"/>
            <w:bookmarkEnd w:id="1"/>
          </w:p>
          <w:p>
            <w:pPr>
              <w:rPr>
                <w:rFonts w:ascii="Calibri" w:hAnsi="Calibri"/>
              </w:rPr>
            </w:pPr>
          </w:p>
          <w:p>
            <w:pPr>
              <w:rPr>
                <w:rFonts w:ascii="Calibri" w:hAnsi="Calibri"/>
              </w:rPr>
            </w:pPr>
          </w:p>
          <w:p>
            <w:pPr>
              <w:rPr>
                <w:rFonts w:ascii="Calibri" w:hAnsi="Calibri"/>
              </w:rPr>
            </w:pPr>
          </w:p>
        </w:tc>
      </w:tr>
      <w:tr>
        <w:trPr>
          <w:trHeight w:val="288"/>
        </w:trPr>
        <w:tc>
          <w:tcPr>
            <w:tcW w:w="10314" w:type="dxa"/>
            <w:gridSpan w:val="5"/>
          </w:tcPr>
          <w:p>
            <w:pPr>
              <w:rPr>
                <w:rFonts w:ascii="Calibri" w:hAnsi="Calibri"/>
              </w:rPr>
            </w:pPr>
            <w:r>
              <w:rPr>
                <w:rFonts w:ascii="Calibri" w:hAnsi="Calibri"/>
              </w:rPr>
              <w:lastRenderedPageBreak/>
              <w:t xml:space="preserve">Key Issues/Actions for GB: </w:t>
            </w: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tc>
      </w:tr>
      <w:tr>
        <w:trPr>
          <w:trHeight w:val="288"/>
        </w:trPr>
        <w:tc>
          <w:tcPr>
            <w:tcW w:w="10314" w:type="dxa"/>
            <w:gridSpan w:val="5"/>
          </w:tcPr>
          <w:p>
            <w:pPr>
              <w:rPr>
                <w:rFonts w:ascii="Calibri" w:hAnsi="Calibri"/>
              </w:rPr>
            </w:pPr>
            <w:r>
              <w:rPr>
                <w:rFonts w:ascii="Calibri" w:hAnsi="Calibri"/>
              </w:rPr>
              <w:t>Action agreed in GB meeting with regard to visit:</w:t>
            </w:r>
          </w:p>
          <w:p>
            <w:pPr>
              <w:rPr>
                <w:rFonts w:ascii="Calibri" w:hAnsi="Calibri"/>
              </w:rPr>
            </w:pPr>
          </w:p>
          <w:p>
            <w:pPr>
              <w:rPr>
                <w:rFonts w:ascii="Calibri" w:hAnsi="Calibri"/>
              </w:rPr>
            </w:pPr>
          </w:p>
          <w:p>
            <w:pPr>
              <w:rPr>
                <w:rFonts w:ascii="Calibri" w:hAnsi="Calibri"/>
              </w:rPr>
            </w:pPr>
          </w:p>
        </w:tc>
      </w:tr>
    </w:tbl>
    <w:p>
      <w:pPr>
        <w:rPr>
          <w:rFonts w:ascii="Calibri" w:hAnsi="Calibri"/>
          <w:b/>
          <w:sz w:val="28"/>
          <w:szCs w:val="28"/>
          <w:u w:val="single"/>
        </w:rPr>
      </w:pPr>
    </w:p>
    <w:p/>
    <w:sectPr>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Nutfield Church Primary School Office</cp:lastModifiedBy>
  <cp:revision>2</cp:revision>
  <dcterms:created xsi:type="dcterms:W3CDTF">2023-04-20T13:40:00Z</dcterms:created>
  <dcterms:modified xsi:type="dcterms:W3CDTF">2023-04-20T13:40:00Z</dcterms:modified>
</cp:coreProperties>
</file>