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45.4pt" o:ole="">
            <v:imagedata r:id="rId5" o:title=""/>
          </v:shape>
          <o:OLEObject Type="Embed" ProgID="MSPhotoEd.3" ShapeID="_x0000_i1025" DrawAspect="Content" ObjectID="_1730544338"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Name of Governor: Laura Castleman</w:t>
            </w:r>
          </w:p>
          <w:p>
            <w:pPr>
              <w:rPr>
                <w:rFonts w:ascii="Calibri" w:hAnsi="Calibri"/>
              </w:rPr>
            </w:pPr>
          </w:p>
        </w:tc>
        <w:tc>
          <w:tcPr>
            <w:tcW w:w="4925" w:type="dxa"/>
            <w:gridSpan w:val="2"/>
            <w:tcBorders>
              <w:left w:val="single" w:sz="12" w:space="0" w:color="000000"/>
            </w:tcBorders>
          </w:tcPr>
          <w:p>
            <w:pPr>
              <w:rPr>
                <w:rFonts w:ascii="Calibri" w:hAnsi="Calibri"/>
              </w:rPr>
            </w:pPr>
            <w:r>
              <w:rPr>
                <w:rFonts w:ascii="Calibri" w:hAnsi="Calibri"/>
              </w:rPr>
              <w:t>Date: 12 October 2022</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 Wellbeing (incl. Trinity Farm; PSHE/RHE curriculum). Key question: how effective is the wellbeing curriculum balance?</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FFFF00"/>
          </w:tcPr>
          <w:p>
            <w:pPr>
              <w:rPr>
                <w:rFonts w:ascii="Calibri" w:hAnsi="Calibri"/>
                <w:sz w:val="22"/>
                <w:szCs w:val="22"/>
              </w:rPr>
            </w:pPr>
            <w:r>
              <w:rPr>
                <w:rFonts w:ascii="Calibri" w:hAnsi="Calibri"/>
                <w:sz w:val="22"/>
                <w:szCs w:val="22"/>
              </w:rPr>
              <w:t>Vision and Leadership</w:t>
            </w:r>
          </w:p>
        </w:tc>
        <w:tc>
          <w:tcPr>
            <w:tcW w:w="2306" w:type="dxa"/>
            <w:shd w:val="clear" w:color="auto" w:fill="FFFF00"/>
          </w:tcPr>
          <w:p>
            <w:pPr>
              <w:rPr>
                <w:rFonts w:ascii="Calibri" w:hAnsi="Calibri"/>
                <w:sz w:val="22"/>
                <w:szCs w:val="22"/>
              </w:rPr>
            </w:pPr>
            <w:r>
              <w:rPr>
                <w:rFonts w:ascii="Calibri" w:hAnsi="Calibri"/>
                <w:sz w:val="22"/>
                <w:szCs w:val="22"/>
              </w:rPr>
              <w:t>Wisdom, Knowledge and Skills</w:t>
            </w:r>
          </w:p>
        </w:tc>
        <w:tc>
          <w:tcPr>
            <w:tcW w:w="2549" w:type="dxa"/>
            <w:shd w:val="clear" w:color="auto" w:fill="FFFF00"/>
          </w:tcPr>
          <w:p>
            <w:pPr>
              <w:rPr>
                <w:rFonts w:ascii="Calibri" w:hAnsi="Calibri"/>
                <w:sz w:val="22"/>
                <w:szCs w:val="22"/>
              </w:rPr>
            </w:pPr>
            <w:r>
              <w:rPr>
                <w:rFonts w:ascii="Calibri" w:hAnsi="Calibri"/>
                <w:sz w:val="22"/>
                <w:szCs w:val="22"/>
              </w:rPr>
              <w:t>Character Development</w:t>
            </w:r>
          </w:p>
        </w:tc>
        <w:tc>
          <w:tcPr>
            <w:tcW w:w="2376" w:type="dxa"/>
            <w:shd w:val="clear" w:color="auto" w:fill="FFFF00"/>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FFFF00"/>
          </w:tcPr>
          <w:p>
            <w:pPr>
              <w:rPr>
                <w:rFonts w:ascii="Calibri" w:hAnsi="Calibri"/>
                <w:sz w:val="22"/>
                <w:szCs w:val="22"/>
              </w:rPr>
            </w:pPr>
            <w:r>
              <w:rPr>
                <w:rFonts w:ascii="Calibri" w:hAnsi="Calibri"/>
                <w:sz w:val="22"/>
                <w:szCs w:val="22"/>
              </w:rPr>
              <w:t>Dignity and Respect</w:t>
            </w:r>
          </w:p>
        </w:tc>
        <w:tc>
          <w:tcPr>
            <w:tcW w:w="2306" w:type="dxa"/>
            <w:shd w:val="clear" w:color="auto" w:fill="FFFF00"/>
          </w:tcPr>
          <w:p>
            <w:pPr>
              <w:rPr>
                <w:rFonts w:ascii="Calibri" w:hAnsi="Calibri"/>
                <w:sz w:val="22"/>
                <w:szCs w:val="22"/>
              </w:rPr>
            </w:pPr>
            <w:r>
              <w:rPr>
                <w:rFonts w:ascii="Calibri" w:hAnsi="Calibri"/>
                <w:sz w:val="22"/>
                <w:szCs w:val="22"/>
              </w:rPr>
              <w:t>Collective Worship</w:t>
            </w:r>
          </w:p>
        </w:tc>
        <w:tc>
          <w:tcPr>
            <w:tcW w:w="2549" w:type="dxa"/>
            <w:shd w:val="clear" w:color="auto" w:fill="FFFF00"/>
          </w:tcPr>
          <w:p>
            <w:pPr>
              <w:rPr>
                <w:rFonts w:ascii="Calibri" w:hAnsi="Calibri"/>
                <w:sz w:val="22"/>
                <w:szCs w:val="22"/>
              </w:rPr>
            </w:pPr>
            <w:r>
              <w:rPr>
                <w:rFonts w:ascii="Calibri" w:hAnsi="Calibri"/>
                <w:sz w:val="22"/>
                <w:szCs w:val="22"/>
              </w:rPr>
              <w:t>Religious Education</w:t>
            </w:r>
          </w:p>
        </w:tc>
        <w:tc>
          <w:tcPr>
            <w:tcW w:w="2376" w:type="dxa"/>
            <w:shd w:val="clear" w:color="auto" w:fill="FFFF00"/>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FFFF00"/>
          </w:tcPr>
          <w:p>
            <w:pPr>
              <w:rPr>
                <w:rFonts w:ascii="Calibri" w:hAnsi="Calibri"/>
                <w:sz w:val="22"/>
                <w:szCs w:val="22"/>
              </w:rPr>
            </w:pPr>
            <w:r>
              <w:rPr>
                <w:rFonts w:ascii="Calibri" w:hAnsi="Calibri"/>
                <w:sz w:val="22"/>
                <w:szCs w:val="22"/>
              </w:rPr>
              <w:t xml:space="preserve">Quality of Education </w:t>
            </w:r>
          </w:p>
        </w:tc>
        <w:tc>
          <w:tcPr>
            <w:tcW w:w="2306" w:type="dxa"/>
            <w:shd w:val="clear" w:color="auto" w:fill="FFFF00"/>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FFFF00"/>
          </w:tcPr>
          <w:p>
            <w:pPr>
              <w:rPr>
                <w:rFonts w:ascii="Calibri" w:hAnsi="Calibri"/>
                <w:sz w:val="22"/>
                <w:szCs w:val="22"/>
              </w:rPr>
            </w:pPr>
            <w:r>
              <w:rPr>
                <w:rFonts w:ascii="Calibri" w:hAnsi="Calibri"/>
                <w:sz w:val="22"/>
                <w:szCs w:val="22"/>
              </w:rPr>
              <w:t xml:space="preserve">Personal Development </w:t>
            </w:r>
          </w:p>
        </w:tc>
        <w:tc>
          <w:tcPr>
            <w:tcW w:w="2376" w:type="dxa"/>
            <w:shd w:val="clear" w:color="auto" w:fill="FFFF00"/>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None</w:t>
            </w:r>
          </w:p>
        </w:tc>
      </w:tr>
      <w:tr>
        <w:trPr>
          <w:trHeight w:val="288"/>
        </w:trPr>
        <w:tc>
          <w:tcPr>
            <w:tcW w:w="10314" w:type="dxa"/>
            <w:gridSpan w:val="5"/>
          </w:tcPr>
          <w:p>
            <w:pPr>
              <w:rPr>
                <w:rFonts w:ascii="Calibri" w:hAnsi="Calibri"/>
              </w:rPr>
            </w:pPr>
            <w:r>
              <w:rPr>
                <w:rFonts w:ascii="Calibri" w:hAnsi="Calibri"/>
              </w:rPr>
              <w:t>Governor comments:</w:t>
            </w:r>
          </w:p>
          <w:p>
            <w:pPr>
              <w:rPr>
                <w:rFonts w:ascii="Calibri" w:hAnsi="Calibri"/>
              </w:rPr>
            </w:pPr>
          </w:p>
          <w:p>
            <w:pPr>
              <w:rPr>
                <w:rFonts w:asciiTheme="minorHAnsi" w:hAnsiTheme="minorHAnsi" w:cstheme="minorHAnsi"/>
              </w:rPr>
            </w:pPr>
            <w:r>
              <w:rPr>
                <w:rFonts w:asciiTheme="minorHAnsi" w:hAnsiTheme="minorHAnsi" w:cstheme="minorHAnsi"/>
              </w:rPr>
              <w:t>The school has exceptional opportunities for pupils to look after and nurture animals, wildlife, and fruit and vegetables at developmentally appropriate levels, with younger children guided more closely by teachers, and older children taking the lead in their animal responsibilities. For example, Y1 and Y5 both have responsibility for the chickens, but jobs and responsibilities differ (depth of knowledge and understanding appropriately varies). Whilst talking to Y5, they described how they collect the chicken eggs, stamp them with the date the eggs were laid, and then set them out on a market stall where eggs are available to parents at the end of the day for a voluntary donation (also ensuring that the children learn about enterprise). Y5 seemed confident and enthusiastic when describing their role. A real interest and love for this type of knowledge and experience was clear from pupil engagement when questioned.</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During the tour of Trinity Farm and other areas of the school, KB explained how different years are responsible for different areas of ‘farm life’, e.g. Y2 sow seeds in their greenhouse (which is located right by their door for frequent access) and also plant in the raised beds in Trinity Farm (e.g. broccoli &amp; potatoes) and harvest the fruit tree. The Reception pupils also have a garden where they grow produce such as tomatoes and runner beans. All of the knowledge is grounded in God’s good earth and our obligation to look after it. Guest speakers add specialist knowledge to the curriculum too and have included speakers from the RSPB and a hedgehog expert.</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Continuous links are made to various areas of the curriculum, for example, important signage and vocabulary is being added to the greenhouse areas in Y2; Y6 engage thoroughly with animal husbandry (checking guinea pig claws, eyes, etc., and mucking them out) and, through a cross-curricular lens, research about the benefits of looking after animals, animals for therapy, etc. and then write about their research findings. Additionally, Y3 look after the wildlife area where they conduct birdwatch and place bird boxes and bird feeders, make fat balls for birds and create hedgehog houses as well as learning the importance of natural habitat being left for animals where possible (stick piles). Y4 research how to construct effective bug hotels and then design, build and monitor the hotel. High importance is placed on experiential learning where children are encouraged to learn by doing, meeting the needs of pupils who learn in different ways and also to ensure that children have the opportunity to apply theory to practice, and providing chances to consolidate learning too. Additionally, pupils </w:t>
            </w:r>
            <w:proofErr w:type="gramStart"/>
            <w:r>
              <w:rPr>
                <w:rFonts w:asciiTheme="minorHAnsi" w:hAnsiTheme="minorHAnsi" w:cstheme="minorHAnsi"/>
              </w:rPr>
              <w:t>with  needs</w:t>
            </w:r>
            <w:proofErr w:type="gramEnd"/>
            <w:r>
              <w:rPr>
                <w:rFonts w:asciiTheme="minorHAnsi" w:hAnsiTheme="minorHAnsi" w:cstheme="minorHAnsi"/>
              </w:rPr>
              <w:t xml:space="preserve"> additional needs and disadvantaged pupils are afforded opportunities to spend more time in Trinity Farm to gain additional support through this nurturing space. An adult </w:t>
            </w:r>
            <w:r>
              <w:rPr>
                <w:rFonts w:asciiTheme="minorHAnsi" w:hAnsiTheme="minorHAnsi" w:cstheme="minorHAnsi"/>
              </w:rPr>
              <w:lastRenderedPageBreak/>
              <w:t>volunteer with particular expertise in animal care, provides one to one support to help with emotional needs of vulnerable children. I spoke with one child who has access to the additional one to one support and they suggested that they really enjoyed their time in Trinity Farm on a Friday and like the guinea pigs best. The pupil seemed very positive about their Friday time spent in this space.</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Discussions are taking place related to next steps and continued growth in Trinity Farm and the wildlife area, despite the extensive and unique educational experiences the pupils are afforded already, demonstrating the school and wellbeing team’s enthusiasm and understanding in relation to the importance of this area as a learning tool for broader curriculum goals as well as pupil wellbeing. Health and safety preventative mechanisms were regularly acknowledged, incl. the fact that children are not allowed in the wildlife areas without an adult. Finances have been intelligently used to support this cause, with diocese money dedicated to buildings being used to build new ‘barn’ facilities for chickens, guinea pigs and rabbits. Rotary donations have been used for the greenhouse, and one-off and reoccurring parental donations and fundraising events are used to supplement Trinity Farm funds.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Discussions about Relationship, Sex and Health Education (RSHE) made it clear that parents can opt out of sex education and their child can go to another classroom, but that is the only optional part of this curriculum (relationship and health are compulsory) and this rarely happens. A program called Discovery Education is used for RSHE and any cross-curricular links with the science curriculum (e.g. sexual anatomy) are all taught in the same week, i.e. science and sex education will cover similar topics that parents can then withdraw their child from in a minimally disruptive period of time. Within this element of the curriculum, children are taught the acronym PANTS from the NSPCC to better understand risk and safety and the importance of permission and consent. KB explained how this includes children knowing that, at this school, they can talk to all adults. Through tour observations, there seems to be excellent relationships between teachers and children, where children seem confident to ask questions and answer questions and engage with adults around them. Though well-behaved and respectful, children were empowered to be confident and communicative at appropriate times.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The PE strand demonstrates an impressive use of varied physical activities including compulsory NC activities such as OAA, dance and swimming, as well as an array of competitive sports which develop in complexity as children move up the years, and which help build children’s physical literacy.  By making numerous activities available for pupils, they have an increased chance to find activities that inspire them and enhance the chance that they will find a love for particular physical activities, or physical activity more generally through their life. Specific activities are chosen in particular terms to link with interschool tournaments for those activities, so teams can learn the rules and tactics, etc. before going to the tournaments. Tournaments can then be used to apply and perform key skills beyond the school environment, incl. cooperation, motor competence, resilience and moral behaviors around competition, success and defeat. Pupils are also provided with additional opportunities, for example, each half term, every year is provided with an additional 1-hour of PE with an external sports coach; Y3 complete an intensive swimming course for 2 weeks which counts as a double PE lesson every day for the 2-week period (this intensive approach has been seen to create more effective learning than weekly lessons over a longer period of time); Y4 go to High Ashurst for 3 x days of OAA; Y5 have 3 x days of OAA at Mercers Lake. These opportunities continue to develop a broad curriculum.</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Finally, Philosophy 4 Children (P4C) is a program being used to challenge children to engage with higher-level thinking at an age appropriate level. Stimuli are given to children and they create questions to be discussed or investigated and then healthy debates ensue. Stimuli can include books, photos, etc. and teachers are there to facilitate where necessary. Pupils learn to develop critical thinking, listening to the values of others, respectfully disagreeing and explaining their position, and being open to new ideas and challenging their views. This aims of this program are commendable and children will no doubt benefit from learning these ‘real life’ skills in a safe environment.</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Robust systems ensure that all children at NCPS are given opportunities, support and encouragement to flourish through numerous wellbeing strategies (e.g. RSHE, outside learning, PE, and P4C). Research informed curriculum design and pedagogically informed principles were evident in documentation and conversations with KB (wellbeing lead). Additionally, termly British values and half-termly Christian values which the broader school uses to focus education and personal development, are considered throughout the aforementioned wellbeing strategies.</w:t>
            </w:r>
          </w:p>
          <w:p>
            <w:pPr>
              <w:rPr>
                <w:rFonts w:ascii="Calibri" w:hAnsi="Calibri"/>
              </w:rPr>
            </w:pPr>
          </w:p>
        </w:tc>
      </w:tr>
      <w:tr>
        <w:trPr>
          <w:trHeight w:val="288"/>
        </w:trPr>
        <w:tc>
          <w:tcPr>
            <w:tcW w:w="10314" w:type="dxa"/>
            <w:gridSpan w:val="5"/>
          </w:tcPr>
          <w:p>
            <w:pPr>
              <w:rPr>
                <w:rFonts w:ascii="Calibri" w:hAnsi="Calibri"/>
              </w:rPr>
            </w:pPr>
            <w:r>
              <w:rPr>
                <w:rFonts w:ascii="Calibri" w:hAnsi="Calibri"/>
              </w:rPr>
              <w:lastRenderedPageBreak/>
              <w:t xml:space="preserve">Key Issues/Actions for GB: </w:t>
            </w:r>
          </w:p>
          <w:p>
            <w:pPr>
              <w:pStyle w:val="ListParagraph"/>
              <w:numPr>
                <w:ilvl w:val="0"/>
                <w:numId w:val="8"/>
              </w:numPr>
              <w:rPr>
                <w:rFonts w:ascii="Calibri" w:hAnsi="Calibri"/>
              </w:rPr>
            </w:pPr>
            <w:r>
              <w:rPr>
                <w:rFonts w:ascii="Calibri" w:hAnsi="Calibri"/>
              </w:rPr>
              <w:t>Consider continued financial stability of Trinity Farm, incl. the potential to introduce additional animals in the future (e.g. alpacas or goats).</w:t>
            </w:r>
          </w:p>
          <w:p>
            <w:pPr>
              <w:pStyle w:val="ListParagraph"/>
              <w:numPr>
                <w:ilvl w:val="0"/>
                <w:numId w:val="8"/>
              </w:numPr>
              <w:rPr>
                <w:rFonts w:ascii="Calibri" w:hAnsi="Calibri"/>
              </w:rPr>
            </w:pPr>
            <w:r>
              <w:rPr>
                <w:rFonts w:ascii="Calibri" w:hAnsi="Calibri"/>
              </w:rPr>
              <w:t>Consider how children with additional needs and DP children might have increased opportunity to engage with Trinity Farm</w:t>
            </w: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6C4B"/>
    <w:multiLevelType w:val="hybridMultilevel"/>
    <w:tmpl w:val="3C68D776"/>
    <w:lvl w:ilvl="0" w:tplc="CD6084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26F93"/>
    <w:multiLevelType w:val="hybridMultilevel"/>
    <w:tmpl w:val="F628F4C6"/>
    <w:lvl w:ilvl="0" w:tplc="473664A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459A6"/>
    <w:multiLevelType w:val="hybridMultilevel"/>
    <w:tmpl w:val="E19CA20E"/>
    <w:lvl w:ilvl="0" w:tplc="C0B688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61D7F"/>
    <w:multiLevelType w:val="hybridMultilevel"/>
    <w:tmpl w:val="47EC9AD6"/>
    <w:lvl w:ilvl="0" w:tplc="71A2C2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92027"/>
    <w:multiLevelType w:val="hybridMultilevel"/>
    <w:tmpl w:val="777C4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8558C"/>
    <w:multiLevelType w:val="hybridMultilevel"/>
    <w:tmpl w:val="808E5DDA"/>
    <w:lvl w:ilvl="0" w:tplc="F3A6BEB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971B5"/>
    <w:multiLevelType w:val="hybridMultilevel"/>
    <w:tmpl w:val="68888C30"/>
    <w:lvl w:ilvl="0" w:tplc="31120E0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1E685B"/>
    <w:multiLevelType w:val="hybridMultilevel"/>
    <w:tmpl w:val="97147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5"/>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2022-11-21T13:59:00Z</dcterms:created>
  <dcterms:modified xsi:type="dcterms:W3CDTF">2022-11-21T13:59:00Z</dcterms:modified>
</cp:coreProperties>
</file>