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pPr>
        <w:jc w:val="center"/>
        <w:rPr>
          <w:rFonts w:ascii="Calibri" w:hAnsi="Calibri"/>
          <w:b/>
          <w:u w:val="single"/>
        </w:rPr>
      </w:pPr>
      <w:r>
        <w:rPr>
          <w:rFonts w:ascii="Calibri" w:hAnsi="Calibri"/>
          <w:b/>
          <w:noProof/>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75pt;height:46pt;mso-width-percent:0;mso-height-percent:0;mso-width-percent:0;mso-height-percent:0" o:ole="">
            <v:imagedata r:id="rId5" o:title=""/>
          </v:shape>
          <o:OLEObject Type="Embed" ProgID="MSPhotoEd.3" ShapeID="_x0000_i1025" DrawAspect="Content" ObjectID="_1739000174" r:id="rId6"/>
        </w:object>
      </w:r>
    </w:p>
    <w:p>
      <w:pPr>
        <w:jc w:val="center"/>
        <w:rPr>
          <w:rFonts w:ascii="Calibri" w:hAnsi="Calibri"/>
          <w:b/>
          <w:u w:val="single"/>
        </w:rPr>
      </w:pPr>
      <w:r>
        <w:rPr>
          <w:rFonts w:ascii="Calibri" w:hAnsi="Calibri"/>
          <w:b/>
          <w:u w:val="single"/>
        </w:rPr>
        <w:t xml:space="preserve">GOVERNOR MONITORING  </w:t>
      </w:r>
    </w:p>
    <w:p>
      <w:pPr>
        <w:jc w:val="center"/>
        <w:rPr>
          <w:rFonts w:ascii="Calibri" w:hAnsi="Calibri"/>
          <w:b/>
          <w:sz w:val="22"/>
          <w:szCs w:val="22"/>
        </w:rPr>
      </w:pPr>
      <w:r>
        <w:rPr>
          <w:rFonts w:ascii="Calibri" w:hAnsi="Calibri"/>
          <w:b/>
          <w:sz w:val="22"/>
          <w:szCs w:val="22"/>
        </w:rPr>
        <w:t xml:space="preserve">COMMUNITY, PEACE, WISDOM, HOPE, DIGNITY, JOY </w:t>
      </w:r>
    </w:p>
    <w:p>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tc>
          <w:tcPr>
            <w:tcW w:w="5389" w:type="dxa"/>
            <w:gridSpan w:val="3"/>
            <w:tcBorders>
              <w:right w:val="single" w:sz="12" w:space="0" w:color="000000"/>
            </w:tcBorders>
          </w:tcPr>
          <w:p>
            <w:pPr>
              <w:rPr>
                <w:rFonts w:ascii="Calibri" w:hAnsi="Calibri"/>
              </w:rPr>
            </w:pPr>
            <w:r>
              <w:rPr>
                <w:rFonts w:ascii="Calibri" w:hAnsi="Calibri"/>
              </w:rPr>
              <w:t xml:space="preserve">Name of Governor: Laura Castleman and </w:t>
            </w:r>
            <w:proofErr w:type="spellStart"/>
            <w:r>
              <w:rPr>
                <w:rFonts w:ascii="Calibri" w:hAnsi="Calibri"/>
              </w:rPr>
              <w:t>Revd</w:t>
            </w:r>
            <w:proofErr w:type="spellEnd"/>
            <w:r>
              <w:rPr>
                <w:rFonts w:ascii="Calibri" w:hAnsi="Calibri"/>
              </w:rPr>
              <w:t xml:space="preserve"> Len Abrams</w:t>
            </w:r>
          </w:p>
        </w:tc>
        <w:tc>
          <w:tcPr>
            <w:tcW w:w="4925" w:type="dxa"/>
            <w:gridSpan w:val="2"/>
            <w:tcBorders>
              <w:left w:val="single" w:sz="12" w:space="0" w:color="000000"/>
            </w:tcBorders>
          </w:tcPr>
          <w:p>
            <w:pPr>
              <w:rPr>
                <w:rFonts w:ascii="Calibri" w:hAnsi="Calibri"/>
              </w:rPr>
            </w:pPr>
            <w:r>
              <w:rPr>
                <w:rFonts w:ascii="Calibri" w:hAnsi="Calibri"/>
              </w:rPr>
              <w:t>Date: 12 January 2023</w:t>
            </w:r>
          </w:p>
        </w:tc>
      </w:tr>
      <w:tr>
        <w:trPr>
          <w:trHeight w:val="391"/>
        </w:trPr>
        <w:tc>
          <w:tcPr>
            <w:tcW w:w="10314" w:type="dxa"/>
            <w:gridSpan w:val="5"/>
            <w:tcBorders>
              <w:bottom w:val="single" w:sz="4" w:space="0" w:color="000000"/>
            </w:tcBorders>
          </w:tcPr>
          <w:p>
            <w:pPr>
              <w:rPr>
                <w:rFonts w:ascii="Calibri" w:hAnsi="Calibri"/>
              </w:rPr>
            </w:pPr>
            <w:r>
              <w:rPr>
                <w:rFonts w:ascii="Calibri" w:hAnsi="Calibri"/>
              </w:rPr>
              <w:t>Focus Area(s): Wellbeing including Trinity Farm; PSHE/RHE curriculum.</w:t>
            </w: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SIAMS</w:t>
            </w:r>
          </w:p>
        </w:tc>
        <w:tc>
          <w:tcPr>
            <w:tcW w:w="2092" w:type="dxa"/>
            <w:shd w:val="clear" w:color="auto" w:fill="auto"/>
          </w:tcPr>
          <w:p>
            <w:pPr>
              <w:rPr>
                <w:rFonts w:ascii="Calibri" w:hAnsi="Calibri"/>
                <w:sz w:val="22"/>
                <w:szCs w:val="22"/>
              </w:rPr>
            </w:pPr>
            <w:r>
              <w:rPr>
                <w:rFonts w:ascii="Calibri" w:hAnsi="Calibri"/>
                <w:sz w:val="22"/>
                <w:szCs w:val="22"/>
              </w:rPr>
              <w:t>Vision and Leadership</w:t>
            </w:r>
          </w:p>
        </w:tc>
        <w:tc>
          <w:tcPr>
            <w:tcW w:w="2306" w:type="dxa"/>
            <w:shd w:val="clear" w:color="auto" w:fill="auto"/>
          </w:tcPr>
          <w:p>
            <w:pPr>
              <w:rPr>
                <w:rFonts w:ascii="Calibri" w:hAnsi="Calibri"/>
                <w:sz w:val="22"/>
                <w:szCs w:val="22"/>
              </w:rPr>
            </w:pPr>
            <w:r>
              <w:rPr>
                <w:rFonts w:ascii="Calibri" w:hAnsi="Calibri"/>
                <w:sz w:val="22"/>
                <w:szCs w:val="22"/>
              </w:rPr>
              <w:t>Wisdom, Knowledge and Skills</w:t>
            </w:r>
          </w:p>
        </w:tc>
        <w:tc>
          <w:tcPr>
            <w:tcW w:w="2549" w:type="dxa"/>
            <w:shd w:val="clear" w:color="auto" w:fill="auto"/>
          </w:tcPr>
          <w:p>
            <w:pPr>
              <w:rPr>
                <w:rFonts w:ascii="Calibri" w:hAnsi="Calibri"/>
                <w:sz w:val="22"/>
                <w:szCs w:val="22"/>
              </w:rPr>
            </w:pPr>
            <w:r>
              <w:rPr>
                <w:rFonts w:ascii="Calibri" w:hAnsi="Calibri"/>
                <w:sz w:val="22"/>
                <w:szCs w:val="22"/>
              </w:rPr>
              <w:t>Character Development</w:t>
            </w:r>
          </w:p>
        </w:tc>
        <w:tc>
          <w:tcPr>
            <w:tcW w:w="2376" w:type="dxa"/>
            <w:shd w:val="clear" w:color="auto" w:fill="auto"/>
          </w:tcPr>
          <w:p>
            <w:pPr>
              <w:rPr>
                <w:rFonts w:ascii="Calibri" w:hAnsi="Calibri"/>
                <w:sz w:val="22"/>
                <w:szCs w:val="22"/>
              </w:rPr>
            </w:pPr>
            <w:r>
              <w:rPr>
                <w:rFonts w:ascii="Calibri" w:hAnsi="Calibri"/>
                <w:sz w:val="22"/>
                <w:szCs w:val="22"/>
              </w:rPr>
              <w:t>Community and Living Well Together</w:t>
            </w:r>
          </w:p>
        </w:tc>
      </w:tr>
      <w:tr>
        <w:trPr>
          <w:trHeight w:val="292"/>
        </w:trPr>
        <w:tc>
          <w:tcPr>
            <w:tcW w:w="991" w:type="dxa"/>
            <w:tcBorders>
              <w:top w:val="single" w:sz="12" w:space="0" w:color="000000"/>
              <w:right w:val="single" w:sz="12" w:space="0" w:color="000000"/>
            </w:tcBorders>
          </w:tcPr>
          <w:p>
            <w:pPr>
              <w:rPr>
                <w:rFonts w:ascii="Calibri" w:hAnsi="Calibri"/>
                <w:b/>
              </w:rPr>
            </w:pPr>
          </w:p>
        </w:tc>
        <w:tc>
          <w:tcPr>
            <w:tcW w:w="2092" w:type="dxa"/>
            <w:shd w:val="clear" w:color="auto" w:fill="auto"/>
          </w:tcPr>
          <w:p>
            <w:pPr>
              <w:rPr>
                <w:rFonts w:ascii="Calibri" w:hAnsi="Calibri"/>
                <w:sz w:val="22"/>
                <w:szCs w:val="22"/>
              </w:rPr>
            </w:pPr>
            <w:r>
              <w:rPr>
                <w:rFonts w:ascii="Calibri" w:hAnsi="Calibri"/>
                <w:sz w:val="22"/>
                <w:szCs w:val="22"/>
              </w:rPr>
              <w:t>Dignity and Respect</w:t>
            </w:r>
          </w:p>
        </w:tc>
        <w:tc>
          <w:tcPr>
            <w:tcW w:w="2306" w:type="dxa"/>
            <w:shd w:val="clear" w:color="auto" w:fill="auto"/>
          </w:tcPr>
          <w:p>
            <w:pPr>
              <w:rPr>
                <w:rFonts w:ascii="Calibri" w:hAnsi="Calibri"/>
                <w:sz w:val="22"/>
                <w:szCs w:val="22"/>
              </w:rPr>
            </w:pPr>
            <w:r>
              <w:rPr>
                <w:rFonts w:ascii="Calibri" w:hAnsi="Calibri"/>
                <w:sz w:val="22"/>
                <w:szCs w:val="22"/>
              </w:rPr>
              <w:t>Collective Worship</w:t>
            </w:r>
          </w:p>
        </w:tc>
        <w:tc>
          <w:tcPr>
            <w:tcW w:w="2549" w:type="dxa"/>
            <w:shd w:val="clear" w:color="auto" w:fill="auto"/>
          </w:tcPr>
          <w:p>
            <w:pPr>
              <w:rPr>
                <w:rFonts w:ascii="Calibri" w:hAnsi="Calibri"/>
                <w:sz w:val="22"/>
                <w:szCs w:val="22"/>
              </w:rPr>
            </w:pPr>
            <w:r>
              <w:rPr>
                <w:rFonts w:ascii="Calibri" w:hAnsi="Calibri"/>
                <w:sz w:val="22"/>
                <w:szCs w:val="22"/>
              </w:rPr>
              <w:t>Religious Education</w:t>
            </w:r>
          </w:p>
        </w:tc>
        <w:tc>
          <w:tcPr>
            <w:tcW w:w="2376" w:type="dxa"/>
            <w:shd w:val="clear" w:color="auto" w:fill="auto"/>
          </w:tcPr>
          <w:p>
            <w:pPr>
              <w:rPr>
                <w:rFonts w:ascii="Calibri" w:hAnsi="Calibri"/>
                <w:sz w:val="22"/>
                <w:szCs w:val="22"/>
              </w:rPr>
            </w:pPr>
          </w:p>
        </w:tc>
      </w:tr>
      <w:tr>
        <w:trPr>
          <w:trHeight w:val="292"/>
        </w:trPr>
        <w:tc>
          <w:tcPr>
            <w:tcW w:w="991" w:type="dxa"/>
            <w:tcBorders>
              <w:top w:val="single" w:sz="12" w:space="0" w:color="000000"/>
              <w:right w:val="single" w:sz="12" w:space="0" w:color="000000"/>
            </w:tcBorders>
          </w:tcPr>
          <w:p>
            <w:pPr>
              <w:rPr>
                <w:rFonts w:ascii="Calibri" w:hAnsi="Calibri"/>
                <w:b/>
              </w:rPr>
            </w:pPr>
            <w:r>
              <w:rPr>
                <w:rFonts w:ascii="Calibri" w:hAnsi="Calibri"/>
                <w:b/>
              </w:rPr>
              <w:t>OFSTED</w:t>
            </w:r>
          </w:p>
        </w:tc>
        <w:tc>
          <w:tcPr>
            <w:tcW w:w="2092" w:type="dxa"/>
            <w:shd w:val="clear" w:color="auto" w:fill="auto"/>
          </w:tcPr>
          <w:p>
            <w:pPr>
              <w:rPr>
                <w:rFonts w:ascii="Calibri" w:hAnsi="Calibri"/>
                <w:sz w:val="22"/>
                <w:szCs w:val="22"/>
              </w:rPr>
            </w:pPr>
            <w:r>
              <w:rPr>
                <w:rFonts w:ascii="Calibri" w:hAnsi="Calibri"/>
                <w:sz w:val="22"/>
                <w:szCs w:val="22"/>
              </w:rPr>
              <w:t xml:space="preserve">Quality of Education </w:t>
            </w:r>
          </w:p>
        </w:tc>
        <w:tc>
          <w:tcPr>
            <w:tcW w:w="2306" w:type="dxa"/>
            <w:shd w:val="clear" w:color="auto" w:fill="auto"/>
          </w:tcPr>
          <w:p>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pPr>
              <w:rPr>
                <w:rFonts w:ascii="Calibri" w:hAnsi="Calibri"/>
                <w:sz w:val="22"/>
                <w:szCs w:val="22"/>
              </w:rPr>
            </w:pPr>
            <w:r>
              <w:rPr>
                <w:rFonts w:ascii="Calibri" w:hAnsi="Calibri"/>
                <w:sz w:val="22"/>
                <w:szCs w:val="22"/>
              </w:rPr>
              <w:t xml:space="preserve">Leadership and Management </w:t>
            </w:r>
          </w:p>
        </w:tc>
      </w:tr>
      <w:tr>
        <w:trPr>
          <w:trHeight w:val="288"/>
        </w:trPr>
        <w:tc>
          <w:tcPr>
            <w:tcW w:w="10314" w:type="dxa"/>
            <w:gridSpan w:val="5"/>
          </w:tcPr>
          <w:p>
            <w:pPr>
              <w:rPr>
                <w:rFonts w:ascii="Calibri" w:hAnsi="Calibri"/>
              </w:rPr>
            </w:pPr>
            <w:r>
              <w:rPr>
                <w:rFonts w:ascii="Calibri" w:hAnsi="Calibri"/>
              </w:rPr>
              <w:t>Any safeguarding Issues: None</w:t>
            </w:r>
          </w:p>
        </w:tc>
      </w:tr>
      <w:tr>
        <w:trPr>
          <w:trHeight w:val="288"/>
        </w:trPr>
        <w:tc>
          <w:tcPr>
            <w:tcW w:w="10314" w:type="dxa"/>
            <w:gridSpan w:val="5"/>
          </w:tcPr>
          <w:p>
            <w:pPr>
              <w:rPr>
                <w:rFonts w:ascii="Calibri" w:hAnsi="Calibri"/>
              </w:rPr>
            </w:pPr>
            <w:r>
              <w:rPr>
                <w:rFonts w:ascii="Calibri" w:hAnsi="Calibri"/>
              </w:rPr>
              <w:t>Governor comments:</w:t>
            </w:r>
          </w:p>
          <w:p>
            <w:pPr>
              <w:rPr>
                <w:rFonts w:ascii="Calibri" w:hAnsi="Calibri"/>
              </w:rPr>
            </w:pPr>
          </w:p>
          <w:p>
            <w:pPr>
              <w:rPr>
                <w:rFonts w:ascii="Calibri" w:hAnsi="Calibri"/>
              </w:rPr>
            </w:pPr>
            <w:r>
              <w:rPr>
                <w:rFonts w:ascii="Calibri" w:hAnsi="Calibri"/>
              </w:rPr>
              <w:t xml:space="preserve">The Wellbeing Strand in the school is multi-faceted and includes Reception to Year 6.  The areas covered by Wellbeing are: </w:t>
            </w:r>
          </w:p>
          <w:p>
            <w:pPr>
              <w:pStyle w:val="ListParagraph"/>
              <w:numPr>
                <w:ilvl w:val="0"/>
                <w:numId w:val="1"/>
              </w:numPr>
              <w:rPr>
                <w:rFonts w:ascii="Calibri" w:hAnsi="Calibri"/>
              </w:rPr>
            </w:pPr>
            <w:r>
              <w:rPr>
                <w:rFonts w:ascii="Calibri" w:hAnsi="Calibri"/>
              </w:rPr>
              <w:t xml:space="preserve">PSHE [Personal, Social, Health Education], </w:t>
            </w:r>
          </w:p>
          <w:p>
            <w:pPr>
              <w:pStyle w:val="ListParagraph"/>
              <w:numPr>
                <w:ilvl w:val="0"/>
                <w:numId w:val="1"/>
              </w:numPr>
              <w:rPr>
                <w:rFonts w:ascii="Calibri" w:hAnsi="Calibri"/>
              </w:rPr>
            </w:pPr>
            <w:r>
              <w:rPr>
                <w:rFonts w:ascii="Calibri" w:hAnsi="Calibri"/>
              </w:rPr>
              <w:t>RSHE [Teaching areas of Relationships, Sex, Health &amp; Ethical issue not covered by PSHE];</w:t>
            </w:r>
          </w:p>
          <w:p>
            <w:pPr>
              <w:pStyle w:val="ListParagraph"/>
              <w:numPr>
                <w:ilvl w:val="0"/>
                <w:numId w:val="1"/>
              </w:numPr>
              <w:rPr>
                <w:rFonts w:ascii="Calibri" w:hAnsi="Calibri"/>
              </w:rPr>
            </w:pPr>
            <w:r>
              <w:rPr>
                <w:rFonts w:ascii="Calibri" w:hAnsi="Calibri"/>
              </w:rPr>
              <w:t xml:space="preserve">P4C [Philosophy for Children]; </w:t>
            </w:r>
          </w:p>
          <w:p>
            <w:pPr>
              <w:pStyle w:val="ListParagraph"/>
              <w:numPr>
                <w:ilvl w:val="0"/>
                <w:numId w:val="1"/>
              </w:numPr>
              <w:rPr>
                <w:rFonts w:ascii="Calibri" w:hAnsi="Calibri"/>
              </w:rPr>
            </w:pPr>
            <w:r>
              <w:rPr>
                <w:rFonts w:ascii="Calibri" w:hAnsi="Calibri"/>
              </w:rPr>
              <w:t>PE [Physical Education];</w:t>
            </w:r>
          </w:p>
          <w:p>
            <w:pPr>
              <w:pStyle w:val="ListParagraph"/>
              <w:numPr>
                <w:ilvl w:val="0"/>
                <w:numId w:val="1"/>
              </w:numPr>
              <w:rPr>
                <w:rFonts w:ascii="Calibri" w:hAnsi="Calibri"/>
              </w:rPr>
            </w:pPr>
            <w:r>
              <w:rPr>
                <w:rFonts w:ascii="Calibri" w:hAnsi="Calibri"/>
              </w:rPr>
              <w:t xml:space="preserve">Wellbeing Theory and </w:t>
            </w:r>
          </w:p>
          <w:p>
            <w:pPr>
              <w:pStyle w:val="ListParagraph"/>
              <w:numPr>
                <w:ilvl w:val="0"/>
                <w:numId w:val="1"/>
              </w:numPr>
              <w:rPr>
                <w:rFonts w:ascii="Calibri" w:hAnsi="Calibri"/>
              </w:rPr>
            </w:pPr>
            <w:r>
              <w:rPr>
                <w:rFonts w:ascii="Calibri" w:hAnsi="Calibri"/>
              </w:rPr>
              <w:t>Wellbeing +</w:t>
            </w:r>
          </w:p>
          <w:p>
            <w:pPr>
              <w:rPr>
                <w:rFonts w:ascii="Calibri" w:hAnsi="Calibri"/>
              </w:rPr>
            </w:pPr>
          </w:p>
          <w:p>
            <w:pPr>
              <w:rPr>
                <w:rFonts w:ascii="Calibri" w:hAnsi="Calibri"/>
              </w:rPr>
            </w:pPr>
            <w:r>
              <w:rPr>
                <w:rFonts w:ascii="Calibri" w:hAnsi="Calibri"/>
              </w:rPr>
              <w:t>Together these elements of the Wellbeing Strand provide a wide variety of learning and practical experience for the children.  The Governor Monitoring visit included a visit to each classroom, a visit to Trinity Gardens and the animal / chicken enclosures, and a discussion with a group of children from different years.</w:t>
            </w:r>
          </w:p>
          <w:p>
            <w:pPr>
              <w:rPr>
                <w:rFonts w:ascii="Calibri" w:hAnsi="Calibri"/>
              </w:rPr>
            </w:pPr>
          </w:p>
          <w:p>
            <w:pPr>
              <w:rPr>
                <w:rFonts w:ascii="Calibri" w:hAnsi="Calibri"/>
                <w:lang w:val="en-GB"/>
              </w:rPr>
            </w:pPr>
            <w:r>
              <w:rPr>
                <w:rFonts w:ascii="Calibri" w:hAnsi="Calibri"/>
              </w:rPr>
              <w:t xml:space="preserve">Evidence of the work done and what has been achieved under this Strand is available through the Wellbeing Books which </w:t>
            </w:r>
            <w:r>
              <w:rPr>
                <w:rFonts w:ascii="Calibri" w:hAnsi="Calibri"/>
                <w:lang w:val="en-GB"/>
              </w:rPr>
              <w:t>teachers from each class complete. These document PSHE, P4C &amp; Wellbeing Theory strands which are rotated in a three week cycle.  Wellbeing+ continues throughout the week and includes the day-to-day care of animals/plants. Classes do 1 hour of one of these strands and 1 hour of PE per week (in their wellbeing afternoon). Books demonstrated pictures which children had made, photographs, quotes from children, teacher observations, and so on. There are no worksheets due to the nature of the tasks (discussion, thought, feelings, hands-on and applied learning), so teachers need to document what children are doing. Going forwards, teachers will label areas in books: PSHE, P4C and Wellbeing Theory, so that it is clear what relates to each of the 3 areas.  There is also a Wellbeing board in each classroom which demonstrates designing, planning, or execution of activities related to their wellbeing ‘job’ (animals or gardens).</w:t>
            </w:r>
          </w:p>
          <w:p>
            <w:pPr>
              <w:rPr>
                <w:rFonts w:ascii="Calibri" w:hAnsi="Calibri"/>
              </w:rPr>
            </w:pPr>
          </w:p>
          <w:p>
            <w:pPr>
              <w:rPr>
                <w:rFonts w:ascii="Calibri" w:hAnsi="Calibri"/>
              </w:rPr>
            </w:pPr>
            <w:r>
              <w:rPr>
                <w:rFonts w:ascii="Calibri" w:hAnsi="Calibri"/>
              </w:rPr>
              <w:lastRenderedPageBreak/>
              <w:t>The Wellbeing + program includes practical, hands-on interaction with a variety of different animals, birds, insects and plants which builds a bridge between the children and nature which reinforces the theological understanding of God’s good creation.  These are year-specific as follows:</w:t>
            </w:r>
          </w:p>
          <w:p>
            <w:pPr>
              <w:pStyle w:val="ListParagraph"/>
              <w:numPr>
                <w:ilvl w:val="0"/>
                <w:numId w:val="5"/>
              </w:numPr>
              <w:rPr>
                <w:rFonts w:ascii="Calibri" w:hAnsi="Calibri"/>
                <w:lang w:val="en-GB"/>
              </w:rPr>
            </w:pPr>
            <w:r>
              <w:rPr>
                <w:rFonts w:ascii="Calibri" w:hAnsi="Calibri"/>
                <w:lang w:val="en-GB"/>
              </w:rPr>
              <w:t>Reception: 2 children per week on a rota basis look after Peter rabbit;</w:t>
            </w:r>
          </w:p>
          <w:p>
            <w:pPr>
              <w:pStyle w:val="ListParagraph"/>
              <w:numPr>
                <w:ilvl w:val="0"/>
                <w:numId w:val="5"/>
              </w:numPr>
              <w:rPr>
                <w:rFonts w:ascii="Calibri" w:hAnsi="Calibri"/>
              </w:rPr>
            </w:pPr>
            <w:r>
              <w:rPr>
                <w:rFonts w:ascii="Calibri" w:hAnsi="Calibri"/>
              </w:rPr>
              <w:t xml:space="preserve">Year 1: </w:t>
            </w:r>
            <w:r>
              <w:rPr>
                <w:rFonts w:ascii="Calibri" w:hAnsi="Calibri"/>
                <w:lang w:val="en-GB"/>
              </w:rPr>
              <w:t>Look after the chickens, including the preparation of food, etc</w:t>
            </w:r>
            <w:r>
              <w:rPr>
                <w:rFonts w:ascii="Calibri" w:hAnsi="Calibri"/>
              </w:rPr>
              <w:t xml:space="preserve"> </w:t>
            </w:r>
          </w:p>
          <w:p>
            <w:pPr>
              <w:pStyle w:val="ListParagraph"/>
              <w:numPr>
                <w:ilvl w:val="0"/>
                <w:numId w:val="5"/>
              </w:numPr>
              <w:rPr>
                <w:rFonts w:ascii="Calibri" w:hAnsi="Calibri"/>
              </w:rPr>
            </w:pPr>
            <w:r>
              <w:rPr>
                <w:rFonts w:ascii="Calibri" w:hAnsi="Calibri"/>
              </w:rPr>
              <w:t xml:space="preserve">Year 2: </w:t>
            </w:r>
            <w:r>
              <w:rPr>
                <w:rFonts w:ascii="Calibri" w:hAnsi="Calibri"/>
                <w:lang w:val="en-GB"/>
              </w:rPr>
              <w:t xml:space="preserve">Planting: vegetables, fruit and plants (hanging baskets). Look after the greenhouse in the courtyard and tend the kitchen garden beds and trinity farm vegetable patch. </w:t>
            </w:r>
          </w:p>
          <w:p>
            <w:pPr>
              <w:pStyle w:val="ListParagraph"/>
              <w:numPr>
                <w:ilvl w:val="0"/>
                <w:numId w:val="5"/>
              </w:numPr>
              <w:rPr>
                <w:rFonts w:ascii="Calibri" w:hAnsi="Calibri"/>
              </w:rPr>
            </w:pPr>
            <w:r>
              <w:rPr>
                <w:rFonts w:ascii="Calibri" w:hAnsi="Calibri"/>
              </w:rPr>
              <w:t xml:space="preserve">Year 3: </w:t>
            </w:r>
            <w:r>
              <w:rPr>
                <w:rFonts w:ascii="Calibri" w:hAnsi="Calibri"/>
                <w:lang w:val="en-GB"/>
              </w:rPr>
              <w:t>Wildlife area including bird watching and have hedgehog homes.</w:t>
            </w:r>
          </w:p>
          <w:p>
            <w:pPr>
              <w:pStyle w:val="ListParagraph"/>
              <w:numPr>
                <w:ilvl w:val="0"/>
                <w:numId w:val="5"/>
              </w:numPr>
              <w:rPr>
                <w:rFonts w:ascii="Calibri" w:hAnsi="Calibri"/>
              </w:rPr>
            </w:pPr>
            <w:r>
              <w:rPr>
                <w:rFonts w:ascii="Calibri" w:hAnsi="Calibri"/>
              </w:rPr>
              <w:t xml:space="preserve">Year 4: </w:t>
            </w:r>
            <w:r>
              <w:rPr>
                <w:rFonts w:ascii="Calibri" w:hAnsi="Calibri"/>
                <w:lang w:val="en-GB"/>
              </w:rPr>
              <w:t>A newly build Bug hotel with insects. They use different habitats, appropriate layering for a bug hotel and see what habitat is preferred by different insects.</w:t>
            </w:r>
          </w:p>
          <w:p>
            <w:pPr>
              <w:pStyle w:val="ListParagraph"/>
              <w:numPr>
                <w:ilvl w:val="0"/>
                <w:numId w:val="5"/>
              </w:numPr>
              <w:rPr>
                <w:rFonts w:ascii="Calibri" w:hAnsi="Calibri"/>
              </w:rPr>
            </w:pPr>
            <w:r>
              <w:rPr>
                <w:rFonts w:ascii="Calibri" w:hAnsi="Calibri"/>
              </w:rPr>
              <w:t xml:space="preserve">Year 5: </w:t>
            </w:r>
            <w:r>
              <w:rPr>
                <w:rFonts w:ascii="Calibri" w:hAnsi="Calibri"/>
                <w:lang w:val="en-GB"/>
              </w:rPr>
              <w:t xml:space="preserve">Chicken care on a more complex level than the </w:t>
            </w:r>
            <w:proofErr w:type="spellStart"/>
            <w:r>
              <w:rPr>
                <w:rFonts w:ascii="Calibri" w:hAnsi="Calibri"/>
                <w:lang w:val="en-GB"/>
              </w:rPr>
              <w:t>yr</w:t>
            </w:r>
            <w:proofErr w:type="spellEnd"/>
            <w:r>
              <w:rPr>
                <w:rFonts w:ascii="Calibri" w:hAnsi="Calibri"/>
                <w:lang w:val="en-GB"/>
              </w:rPr>
              <w:t xml:space="preserve"> 1 children. They rotate the ‘pen’ so that the chickens have fresh grass, collect their eggs and run the donation stall where eggs are made available at the end of the school day. </w:t>
            </w:r>
          </w:p>
          <w:p>
            <w:pPr>
              <w:pStyle w:val="ListParagraph"/>
              <w:numPr>
                <w:ilvl w:val="0"/>
                <w:numId w:val="5"/>
              </w:numPr>
              <w:rPr>
                <w:rFonts w:ascii="Calibri" w:hAnsi="Calibri"/>
              </w:rPr>
            </w:pPr>
            <w:r>
              <w:rPr>
                <w:rFonts w:ascii="Calibri" w:hAnsi="Calibri"/>
              </w:rPr>
              <w:t>Year 6: Care for the two guinea pigs.</w:t>
            </w:r>
          </w:p>
          <w:p>
            <w:pPr>
              <w:rPr>
                <w:rFonts w:ascii="Calibri" w:hAnsi="Calibri"/>
              </w:rPr>
            </w:pPr>
          </w:p>
          <w:p>
            <w:pPr>
              <w:rPr>
                <w:rFonts w:ascii="Calibri" w:hAnsi="Calibri"/>
              </w:rPr>
            </w:pPr>
            <w:r>
              <w:rPr>
                <w:rFonts w:ascii="Calibri" w:hAnsi="Calibri"/>
              </w:rPr>
              <w:t>The program provides an excellent platform for learning and development of skills and attitudes of care for a variety of creatures and plants, including discipline and responsibility.</w:t>
            </w:r>
          </w:p>
          <w:p>
            <w:pPr>
              <w:rPr>
                <w:rFonts w:ascii="Calibri" w:hAnsi="Calibri"/>
              </w:rPr>
            </w:pPr>
          </w:p>
          <w:p>
            <w:pPr>
              <w:rPr>
                <w:rFonts w:ascii="Calibri" w:hAnsi="Calibri"/>
              </w:rPr>
            </w:pPr>
            <w:r>
              <w:rPr>
                <w:rFonts w:ascii="Calibri" w:hAnsi="Calibri"/>
              </w:rPr>
              <w:t xml:space="preserve">The Monitoring team met with a group of KS1 and KS2 children and discussed the P4C and PSHE elements of the Wellbeing curriculum.  The children were very articulate in describing what these programs are and what they have learned through them. The emphasis was on learning how to co-exist and co-operate with others, including in the face of disagreements.  They shared how this gave them skills which will be useful in real-life situations as they grow and develop, whilst also promoting a caring and </w:t>
            </w:r>
            <w:r>
              <w:rPr>
                <w:rFonts w:asciiTheme="minorHAnsi" w:hAnsiTheme="minorHAnsi"/>
              </w:rPr>
              <w:t>accommodating social context in which differences can be accepted without causing division and conflict.</w:t>
            </w:r>
            <w:r>
              <w:rPr>
                <w:rFonts w:asciiTheme="minorHAnsi" w:hAnsiTheme="minorHAnsi" w:cstheme="minorHAnsi"/>
              </w:rPr>
              <w:t xml:space="preserve"> </w:t>
            </w:r>
            <w:r>
              <w:rPr>
                <w:rFonts w:asciiTheme="minorHAnsi" w:hAnsiTheme="minorHAnsi" w:cstheme="minorHAnsi"/>
                <w:color w:val="000000"/>
              </w:rPr>
              <w:t>One child described how they sit in a circle for P4C and ‘listen to opinions, it is their opinion, that’s OK’ - showing respect for alternative ideas. One year 5 child explained how, ‘we don’t disagree with them, we disagree with their opinion’. These lessons are strong lessons for real-life and life beyond school and into later years too.</w:t>
            </w:r>
          </w:p>
          <w:p>
            <w:pPr>
              <w:rPr>
                <w:rFonts w:ascii="Calibri" w:hAnsi="Calibri"/>
              </w:rPr>
            </w:pPr>
          </w:p>
          <w:p>
            <w:pPr>
              <w:rPr>
                <w:rFonts w:ascii="Calibri" w:hAnsi="Calibri"/>
              </w:rPr>
            </w:pPr>
            <w:r>
              <w:rPr>
                <w:rFonts w:ascii="Calibri" w:hAnsi="Calibri"/>
              </w:rPr>
              <w:t xml:space="preserve">All the elements of the Wellbeing Strand were explained by Katharine Brooks. </w:t>
            </w:r>
          </w:p>
        </w:tc>
      </w:tr>
      <w:tr>
        <w:trPr>
          <w:trHeight w:val="288"/>
        </w:trPr>
        <w:tc>
          <w:tcPr>
            <w:tcW w:w="10314" w:type="dxa"/>
            <w:gridSpan w:val="5"/>
          </w:tcPr>
          <w:p>
            <w:pPr>
              <w:rPr>
                <w:rFonts w:ascii="Calibri" w:hAnsi="Calibri"/>
              </w:rPr>
            </w:pPr>
            <w:r>
              <w:rPr>
                <w:rFonts w:ascii="Calibri" w:hAnsi="Calibri"/>
              </w:rPr>
              <w:lastRenderedPageBreak/>
              <w:t xml:space="preserve">Key Issues/Actions for GB: </w:t>
            </w:r>
          </w:p>
          <w:p>
            <w:pPr>
              <w:rPr>
                <w:rFonts w:ascii="Calibri" w:hAnsi="Calibri"/>
              </w:rPr>
            </w:pPr>
          </w:p>
          <w:p>
            <w:pPr>
              <w:rPr>
                <w:rFonts w:ascii="Calibri" w:hAnsi="Calibri"/>
                <w:lang w:val="en-GB"/>
              </w:rPr>
            </w:pPr>
            <w:r>
              <w:rPr>
                <w:rFonts w:ascii="Calibri" w:hAnsi="Calibri"/>
                <w:lang w:val="en-GB"/>
              </w:rPr>
              <w:t xml:space="preserve">* The Wellbeing Strand has the potential to bring together a number of the focus areas of SIAMS, providing a junction between theory and practice such as the theology and teaching about creation, community, dignity, love, care on the one hand, together with practical care for animals, plants and people on the other hand.  This could be further enhanced by collaboration with Christ Church in arranging the annual Village Pet Blessing Service and regular Family Services.  </w:t>
            </w:r>
          </w:p>
          <w:p>
            <w:pPr>
              <w:rPr>
                <w:rFonts w:ascii="Calibri" w:hAnsi="Calibri"/>
                <w:lang w:val="en-GB"/>
              </w:rPr>
            </w:pPr>
            <w:r>
              <w:rPr>
                <w:rFonts w:ascii="Calibri" w:hAnsi="Calibri"/>
                <w:lang w:val="en-GB"/>
              </w:rPr>
              <w:t>* The point above could be further enhanced by explicitly connecting Wellbeing curriculum activities such as P4C and RSHE about ethical and moral aspects of living and interacting together in real-world community with their spiritual and biblical roots and the teachings of Jesus, e.g. love thy neighbour.</w:t>
            </w:r>
          </w:p>
          <w:p>
            <w:pPr>
              <w:rPr>
                <w:rFonts w:ascii="Calibri" w:hAnsi="Calibri"/>
                <w:lang w:val="en-GB"/>
              </w:rPr>
            </w:pPr>
            <w:r>
              <w:rPr>
                <w:rFonts w:ascii="Calibri" w:hAnsi="Calibri"/>
                <w:lang w:val="en-GB"/>
              </w:rPr>
              <w:t xml:space="preserve">*Ensure clear signage – the Wellbeing strand is being taught but children need to know that they are learning through making learning explicit so that children are aware and recognise what they have learned. Emphasise transferable skills and knowledge. </w:t>
            </w:r>
          </w:p>
          <w:p>
            <w:pPr>
              <w:rPr>
                <w:rFonts w:ascii="Calibri" w:hAnsi="Calibri"/>
                <w:lang w:val="en-GB"/>
              </w:rPr>
            </w:pPr>
            <w:r>
              <w:rPr>
                <w:rFonts w:ascii="Calibri" w:hAnsi="Calibri"/>
                <w:lang w:val="en-GB"/>
              </w:rPr>
              <w:t>* Making some of the implicit learning more explicit through teacher explanation or child-led reflection to clearly show impact of this curriculum on children’s development and flourishing (read KB’s Quality of Education: Flourishing in Wellbeing Strand – 3 x I’s). Examples of this might include: a teacher explaining how they use skills from P4C in wider life (i.e. next time you disagree with someone, think about your language – ask children to reflect on whether they have used these skills since the last P4C session 3 weeks ago); in PE, discuss learning beyond skills (e.g. teamwork, resilience, respect for others, etc.) and be explicit with the children about this learning so that they are attuned to the skills they can reflect in life (i.e. turn implicit learning into explicit learning to enhance the transferability of this learning).</w:t>
            </w:r>
          </w:p>
          <w:p>
            <w:pPr>
              <w:rPr>
                <w:rFonts w:ascii="Calibri" w:hAnsi="Calibri"/>
                <w:lang w:val="en-GB"/>
              </w:rPr>
            </w:pPr>
            <w:r>
              <w:rPr>
                <w:rFonts w:ascii="Calibri" w:hAnsi="Calibri"/>
                <w:lang w:val="en-GB"/>
              </w:rPr>
              <w:t>*Maintain volunteer programme</w:t>
            </w:r>
          </w:p>
          <w:p>
            <w:pPr>
              <w:rPr>
                <w:rFonts w:ascii="Calibri" w:hAnsi="Calibri"/>
                <w:lang w:val="en-GB"/>
              </w:rPr>
            </w:pPr>
            <w:r>
              <w:rPr>
                <w:rFonts w:ascii="Calibri" w:hAnsi="Calibri"/>
                <w:lang w:val="en-GB"/>
              </w:rPr>
              <w:t>*Subject Lead needs continual awareness of medium term plan, monitoring to ensure it is working – by listening to children – pupil voice is of utmost importance</w:t>
            </w:r>
          </w:p>
        </w:tc>
      </w:tr>
      <w:tr>
        <w:trPr>
          <w:trHeight w:val="288"/>
        </w:trPr>
        <w:tc>
          <w:tcPr>
            <w:tcW w:w="10314" w:type="dxa"/>
            <w:gridSpan w:val="5"/>
          </w:tcPr>
          <w:p>
            <w:pPr>
              <w:rPr>
                <w:rFonts w:ascii="Calibri" w:hAnsi="Calibri"/>
              </w:rPr>
            </w:pPr>
            <w:r>
              <w:rPr>
                <w:rFonts w:ascii="Calibri" w:hAnsi="Calibri"/>
              </w:rPr>
              <w:t>Action agreed in GB meeting with regard to visit:</w:t>
            </w:r>
          </w:p>
          <w:p>
            <w:pPr>
              <w:rPr>
                <w:rFonts w:ascii="Calibri" w:hAnsi="Calibri"/>
              </w:rPr>
            </w:pPr>
          </w:p>
          <w:p>
            <w:pPr>
              <w:rPr>
                <w:rFonts w:ascii="Calibri" w:hAnsi="Calibri"/>
              </w:rPr>
            </w:pPr>
          </w:p>
        </w:tc>
      </w:tr>
    </w:tbl>
    <w:p/>
    <w:sectPr>
      <w:pgSz w:w="12240" w:h="15840"/>
      <w:pgMar w:top="1138" w:right="851" w:bottom="1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D0B5E"/>
    <w:multiLevelType w:val="hybridMultilevel"/>
    <w:tmpl w:val="8710D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5D2354"/>
    <w:multiLevelType w:val="hybridMultilevel"/>
    <w:tmpl w:val="0756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1339DD"/>
    <w:multiLevelType w:val="hybridMultilevel"/>
    <w:tmpl w:val="1DAC9E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7D17A7"/>
    <w:multiLevelType w:val="hybridMultilevel"/>
    <w:tmpl w:val="3B2A2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C969A8"/>
    <w:multiLevelType w:val="hybridMultilevel"/>
    <w:tmpl w:val="075C9A7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2023-02-27T10:50:00Z</dcterms:created>
  <dcterms:modified xsi:type="dcterms:W3CDTF">2023-02-27T10:50:00Z</dcterms:modified>
</cp:coreProperties>
</file>