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center"/>
        <w:rPr>
          <w:rFonts w:ascii="Calibri" w:hAnsi="Calibri"/>
          <w:b/>
          <w:sz w:val="36"/>
          <w:szCs w:val="36"/>
        </w:rPr>
      </w:pPr>
      <w:bookmarkStart w:id="0" w:name="_GoBack"/>
      <w:bookmarkEnd w:id="0"/>
      <w:r>
        <w:rPr>
          <w:rFonts w:ascii="Calibri" w:hAnsi="Calibri"/>
          <w:b/>
          <w:sz w:val="28"/>
          <w:szCs w:val="28"/>
          <w:u w:val="single"/>
        </w:rPr>
        <w:t>Nutfield Church (C of E) School</w:t>
      </w:r>
    </w:p>
    <w:p>
      <w:pPr>
        <w:jc w:val="center"/>
        <w:rPr>
          <w:rFonts w:ascii="Calibri" w:hAnsi="Calibri"/>
          <w:b/>
          <w:u w:val="single"/>
        </w:rPr>
      </w:pPr>
      <w:r>
        <w:rPr>
          <w:rFonts w:ascii="Calibri" w:hAnsi="Calibri"/>
          <w:b/>
        </w:rPr>
        <w:object w:dxaOrig="8114" w:dyaOrig="94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5pt;height:45.4pt" o:ole="">
            <v:imagedata r:id="rId5" o:title=""/>
          </v:shape>
          <o:OLEObject Type="Embed" ProgID="MSPhotoEd.3" ShapeID="_x0000_i1025" DrawAspect="Content" ObjectID="_1730544277" r:id="rId6"/>
        </w:object>
      </w:r>
    </w:p>
    <w:p>
      <w:pPr>
        <w:jc w:val="center"/>
        <w:rPr>
          <w:rFonts w:ascii="Calibri" w:hAnsi="Calibri"/>
          <w:b/>
          <w:u w:val="single"/>
        </w:rPr>
      </w:pPr>
      <w:r>
        <w:rPr>
          <w:rFonts w:ascii="Calibri" w:hAnsi="Calibri"/>
          <w:b/>
          <w:u w:val="single"/>
        </w:rPr>
        <w:t xml:space="preserve">GOVERNOR MONITORING  </w:t>
      </w:r>
    </w:p>
    <w:p>
      <w:pPr>
        <w:jc w:val="center"/>
        <w:rPr>
          <w:rFonts w:ascii="Calibri" w:hAnsi="Calibri"/>
          <w:b/>
          <w:sz w:val="22"/>
          <w:szCs w:val="22"/>
        </w:rPr>
      </w:pPr>
      <w:r>
        <w:rPr>
          <w:rFonts w:ascii="Calibri" w:hAnsi="Calibri"/>
          <w:b/>
          <w:sz w:val="22"/>
          <w:szCs w:val="22"/>
        </w:rPr>
        <w:t xml:space="preserve">COMMUNITY, PEACE, WISDOM, HOPE, DIGNITY, JOY </w:t>
      </w:r>
    </w:p>
    <w:p>
      <w:pPr>
        <w:rPr>
          <w:rFonts w:ascii="Calibri" w:hAnsi="Calibri"/>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91"/>
        <w:gridCol w:w="2092"/>
        <w:gridCol w:w="2306"/>
        <w:gridCol w:w="2549"/>
        <w:gridCol w:w="2376"/>
      </w:tblGrid>
      <w:tr>
        <w:tc>
          <w:tcPr>
            <w:tcW w:w="5389" w:type="dxa"/>
            <w:gridSpan w:val="3"/>
            <w:tcBorders>
              <w:right w:val="single" w:sz="12" w:space="0" w:color="000000"/>
            </w:tcBorders>
          </w:tcPr>
          <w:p>
            <w:pPr>
              <w:rPr>
                <w:rFonts w:ascii="Calibri" w:hAnsi="Calibri"/>
              </w:rPr>
            </w:pPr>
            <w:r>
              <w:rPr>
                <w:rFonts w:ascii="Calibri" w:hAnsi="Calibri"/>
              </w:rPr>
              <w:t xml:space="preserve">Name of Governor: Sam Nicholls </w:t>
            </w:r>
          </w:p>
          <w:p>
            <w:pPr>
              <w:rPr>
                <w:rFonts w:ascii="Calibri" w:hAnsi="Calibri"/>
              </w:rPr>
            </w:pPr>
          </w:p>
        </w:tc>
        <w:tc>
          <w:tcPr>
            <w:tcW w:w="4925" w:type="dxa"/>
            <w:gridSpan w:val="2"/>
            <w:tcBorders>
              <w:left w:val="single" w:sz="12" w:space="0" w:color="000000"/>
            </w:tcBorders>
          </w:tcPr>
          <w:p>
            <w:pPr>
              <w:rPr>
                <w:rFonts w:ascii="Calibri" w:hAnsi="Calibri"/>
              </w:rPr>
            </w:pPr>
            <w:r>
              <w:rPr>
                <w:rFonts w:ascii="Calibri" w:hAnsi="Calibri"/>
              </w:rPr>
              <w:t>Date: 16</w:t>
            </w:r>
            <w:r>
              <w:rPr>
                <w:rFonts w:ascii="Calibri" w:hAnsi="Calibri"/>
                <w:vertAlign w:val="superscript"/>
              </w:rPr>
              <w:t>th</w:t>
            </w:r>
            <w:r>
              <w:rPr>
                <w:rFonts w:ascii="Calibri" w:hAnsi="Calibri"/>
              </w:rPr>
              <w:t xml:space="preserve"> November 2022</w:t>
            </w:r>
          </w:p>
        </w:tc>
      </w:tr>
      <w:tr>
        <w:trPr>
          <w:trHeight w:val="391"/>
        </w:trPr>
        <w:tc>
          <w:tcPr>
            <w:tcW w:w="10314" w:type="dxa"/>
            <w:gridSpan w:val="5"/>
            <w:tcBorders>
              <w:bottom w:val="single" w:sz="4" w:space="0" w:color="000000"/>
            </w:tcBorders>
          </w:tcPr>
          <w:p>
            <w:pPr>
              <w:rPr>
                <w:rFonts w:ascii="Calibri" w:hAnsi="Calibri"/>
              </w:rPr>
            </w:pPr>
            <w:r>
              <w:rPr>
                <w:rFonts w:ascii="Calibri" w:hAnsi="Calibri"/>
              </w:rPr>
              <w:t xml:space="preserve">Focus Area(s):Health and Safety </w:t>
            </w:r>
          </w:p>
        </w:tc>
      </w:tr>
      <w:tr>
        <w:trPr>
          <w:trHeight w:val="292"/>
        </w:trPr>
        <w:tc>
          <w:tcPr>
            <w:tcW w:w="991" w:type="dxa"/>
            <w:tcBorders>
              <w:top w:val="single" w:sz="12" w:space="0" w:color="000000"/>
              <w:right w:val="single" w:sz="12" w:space="0" w:color="000000"/>
            </w:tcBorders>
          </w:tcPr>
          <w:p>
            <w:pPr>
              <w:rPr>
                <w:rFonts w:ascii="Calibri" w:hAnsi="Calibri"/>
                <w:b/>
              </w:rPr>
            </w:pPr>
            <w:r>
              <w:rPr>
                <w:rFonts w:ascii="Calibri" w:hAnsi="Calibri"/>
                <w:b/>
              </w:rPr>
              <w:t>SIAMS</w:t>
            </w:r>
          </w:p>
        </w:tc>
        <w:tc>
          <w:tcPr>
            <w:tcW w:w="2092" w:type="dxa"/>
            <w:shd w:val="clear" w:color="auto" w:fill="auto"/>
          </w:tcPr>
          <w:p>
            <w:pPr>
              <w:rPr>
                <w:rFonts w:ascii="Calibri" w:hAnsi="Calibri"/>
                <w:sz w:val="22"/>
                <w:szCs w:val="22"/>
              </w:rPr>
            </w:pPr>
            <w:r>
              <w:rPr>
                <w:rFonts w:ascii="Calibri" w:hAnsi="Calibri"/>
                <w:sz w:val="22"/>
                <w:szCs w:val="22"/>
              </w:rPr>
              <w:t>Vision and Leadership</w:t>
            </w:r>
          </w:p>
        </w:tc>
        <w:tc>
          <w:tcPr>
            <w:tcW w:w="2306" w:type="dxa"/>
            <w:shd w:val="clear" w:color="auto" w:fill="auto"/>
          </w:tcPr>
          <w:p>
            <w:pPr>
              <w:rPr>
                <w:rFonts w:ascii="Calibri" w:hAnsi="Calibri"/>
                <w:sz w:val="22"/>
                <w:szCs w:val="22"/>
              </w:rPr>
            </w:pPr>
            <w:r>
              <w:rPr>
                <w:rFonts w:ascii="Calibri" w:hAnsi="Calibri"/>
                <w:sz w:val="22"/>
                <w:szCs w:val="22"/>
              </w:rPr>
              <w:t>Wisdom, Knowledge and Skills</w:t>
            </w:r>
          </w:p>
        </w:tc>
        <w:tc>
          <w:tcPr>
            <w:tcW w:w="2549" w:type="dxa"/>
            <w:shd w:val="clear" w:color="auto" w:fill="auto"/>
          </w:tcPr>
          <w:p>
            <w:pPr>
              <w:rPr>
                <w:rFonts w:ascii="Calibri" w:hAnsi="Calibri"/>
                <w:sz w:val="22"/>
                <w:szCs w:val="22"/>
              </w:rPr>
            </w:pPr>
            <w:r>
              <w:rPr>
                <w:rFonts w:ascii="Calibri" w:hAnsi="Calibri"/>
                <w:sz w:val="22"/>
                <w:szCs w:val="22"/>
              </w:rPr>
              <w:t>Character Development</w:t>
            </w:r>
          </w:p>
        </w:tc>
        <w:tc>
          <w:tcPr>
            <w:tcW w:w="2376" w:type="dxa"/>
            <w:shd w:val="clear" w:color="auto" w:fill="auto"/>
          </w:tcPr>
          <w:p>
            <w:pPr>
              <w:rPr>
                <w:rFonts w:ascii="Calibri" w:hAnsi="Calibri"/>
                <w:sz w:val="22"/>
                <w:szCs w:val="22"/>
              </w:rPr>
            </w:pPr>
            <w:r>
              <w:rPr>
                <w:rFonts w:ascii="Calibri" w:hAnsi="Calibri"/>
                <w:sz w:val="22"/>
                <w:szCs w:val="22"/>
              </w:rPr>
              <w:t>Community and Living Well Together</w:t>
            </w:r>
          </w:p>
        </w:tc>
      </w:tr>
      <w:tr>
        <w:trPr>
          <w:trHeight w:val="292"/>
        </w:trPr>
        <w:tc>
          <w:tcPr>
            <w:tcW w:w="991" w:type="dxa"/>
            <w:tcBorders>
              <w:top w:val="single" w:sz="12" w:space="0" w:color="000000"/>
              <w:right w:val="single" w:sz="12" w:space="0" w:color="000000"/>
            </w:tcBorders>
          </w:tcPr>
          <w:p>
            <w:pPr>
              <w:rPr>
                <w:rFonts w:ascii="Calibri" w:hAnsi="Calibri"/>
                <w:b/>
              </w:rPr>
            </w:pPr>
          </w:p>
        </w:tc>
        <w:tc>
          <w:tcPr>
            <w:tcW w:w="2092" w:type="dxa"/>
            <w:shd w:val="clear" w:color="auto" w:fill="auto"/>
          </w:tcPr>
          <w:p>
            <w:pPr>
              <w:rPr>
                <w:rFonts w:ascii="Calibri" w:hAnsi="Calibri"/>
                <w:sz w:val="22"/>
                <w:szCs w:val="22"/>
              </w:rPr>
            </w:pPr>
            <w:r>
              <w:rPr>
                <w:rFonts w:ascii="Calibri" w:hAnsi="Calibri"/>
                <w:sz w:val="22"/>
                <w:szCs w:val="22"/>
              </w:rPr>
              <w:t>Dignity and Respect</w:t>
            </w:r>
          </w:p>
        </w:tc>
        <w:tc>
          <w:tcPr>
            <w:tcW w:w="2306" w:type="dxa"/>
            <w:shd w:val="clear" w:color="auto" w:fill="auto"/>
          </w:tcPr>
          <w:p>
            <w:pPr>
              <w:rPr>
                <w:rFonts w:ascii="Calibri" w:hAnsi="Calibri"/>
                <w:sz w:val="22"/>
                <w:szCs w:val="22"/>
              </w:rPr>
            </w:pPr>
            <w:r>
              <w:rPr>
                <w:rFonts w:ascii="Calibri" w:hAnsi="Calibri"/>
                <w:sz w:val="22"/>
                <w:szCs w:val="22"/>
              </w:rPr>
              <w:t>Collective Worship</w:t>
            </w:r>
          </w:p>
        </w:tc>
        <w:tc>
          <w:tcPr>
            <w:tcW w:w="2549" w:type="dxa"/>
            <w:shd w:val="clear" w:color="auto" w:fill="auto"/>
          </w:tcPr>
          <w:p>
            <w:pPr>
              <w:rPr>
                <w:rFonts w:ascii="Calibri" w:hAnsi="Calibri"/>
                <w:sz w:val="22"/>
                <w:szCs w:val="22"/>
              </w:rPr>
            </w:pPr>
            <w:r>
              <w:rPr>
                <w:rFonts w:ascii="Calibri" w:hAnsi="Calibri"/>
                <w:sz w:val="22"/>
                <w:szCs w:val="22"/>
              </w:rPr>
              <w:t>Religious Education</w:t>
            </w:r>
          </w:p>
        </w:tc>
        <w:tc>
          <w:tcPr>
            <w:tcW w:w="2376" w:type="dxa"/>
            <w:shd w:val="clear" w:color="auto" w:fill="auto"/>
          </w:tcPr>
          <w:p>
            <w:pPr>
              <w:rPr>
                <w:rFonts w:ascii="Calibri" w:hAnsi="Calibri"/>
                <w:sz w:val="22"/>
                <w:szCs w:val="22"/>
              </w:rPr>
            </w:pPr>
          </w:p>
        </w:tc>
      </w:tr>
      <w:tr>
        <w:trPr>
          <w:trHeight w:val="292"/>
        </w:trPr>
        <w:tc>
          <w:tcPr>
            <w:tcW w:w="991" w:type="dxa"/>
            <w:tcBorders>
              <w:top w:val="single" w:sz="12" w:space="0" w:color="000000"/>
              <w:right w:val="single" w:sz="12" w:space="0" w:color="000000"/>
            </w:tcBorders>
          </w:tcPr>
          <w:p>
            <w:pPr>
              <w:rPr>
                <w:rFonts w:ascii="Calibri" w:hAnsi="Calibri"/>
                <w:b/>
              </w:rPr>
            </w:pPr>
            <w:r>
              <w:rPr>
                <w:rFonts w:ascii="Calibri" w:hAnsi="Calibri"/>
                <w:b/>
              </w:rPr>
              <w:t>OFSTED</w:t>
            </w:r>
          </w:p>
        </w:tc>
        <w:tc>
          <w:tcPr>
            <w:tcW w:w="2092" w:type="dxa"/>
            <w:shd w:val="clear" w:color="auto" w:fill="auto"/>
          </w:tcPr>
          <w:p>
            <w:pPr>
              <w:rPr>
                <w:rFonts w:ascii="Calibri" w:hAnsi="Calibri"/>
                <w:sz w:val="22"/>
                <w:szCs w:val="22"/>
              </w:rPr>
            </w:pPr>
            <w:r>
              <w:rPr>
                <w:rFonts w:ascii="Calibri" w:hAnsi="Calibri"/>
                <w:sz w:val="22"/>
                <w:szCs w:val="22"/>
              </w:rPr>
              <w:t xml:space="preserve">Quality of Education </w:t>
            </w:r>
          </w:p>
        </w:tc>
        <w:tc>
          <w:tcPr>
            <w:tcW w:w="2306" w:type="dxa"/>
            <w:shd w:val="clear" w:color="auto" w:fill="auto"/>
          </w:tcPr>
          <w:p>
            <w:pPr>
              <w:rPr>
                <w:rFonts w:ascii="Calibri" w:hAnsi="Calibri"/>
                <w:sz w:val="22"/>
                <w:szCs w:val="22"/>
              </w:rPr>
            </w:pPr>
            <w:r>
              <w:rPr>
                <w:rFonts w:ascii="Calibri" w:hAnsi="Calibri"/>
                <w:sz w:val="22"/>
                <w:szCs w:val="22"/>
              </w:rPr>
              <w:t xml:space="preserve">Behaviour and Attitudes </w:t>
            </w:r>
          </w:p>
        </w:tc>
        <w:tc>
          <w:tcPr>
            <w:tcW w:w="2549" w:type="dxa"/>
            <w:shd w:val="clear" w:color="auto" w:fill="auto"/>
          </w:tcPr>
          <w:p>
            <w:pPr>
              <w:rPr>
                <w:rFonts w:ascii="Calibri" w:hAnsi="Calibri"/>
                <w:sz w:val="22"/>
                <w:szCs w:val="22"/>
              </w:rPr>
            </w:pPr>
            <w:r>
              <w:rPr>
                <w:rFonts w:ascii="Calibri" w:hAnsi="Calibri"/>
                <w:sz w:val="22"/>
                <w:szCs w:val="22"/>
              </w:rPr>
              <w:t xml:space="preserve">Personal Development </w:t>
            </w:r>
          </w:p>
        </w:tc>
        <w:tc>
          <w:tcPr>
            <w:tcW w:w="2376" w:type="dxa"/>
            <w:shd w:val="clear" w:color="auto" w:fill="auto"/>
          </w:tcPr>
          <w:p>
            <w:pPr>
              <w:rPr>
                <w:rFonts w:ascii="Calibri" w:hAnsi="Calibri"/>
                <w:b/>
                <w:sz w:val="22"/>
                <w:szCs w:val="22"/>
              </w:rPr>
            </w:pPr>
            <w:r>
              <w:rPr>
                <w:rFonts w:ascii="Calibri" w:hAnsi="Calibri"/>
                <w:b/>
                <w:sz w:val="22"/>
                <w:szCs w:val="22"/>
              </w:rPr>
              <w:t xml:space="preserve">Leadership and Management </w:t>
            </w:r>
          </w:p>
        </w:tc>
      </w:tr>
      <w:tr>
        <w:trPr>
          <w:trHeight w:val="288"/>
        </w:trPr>
        <w:tc>
          <w:tcPr>
            <w:tcW w:w="10314" w:type="dxa"/>
            <w:gridSpan w:val="5"/>
          </w:tcPr>
          <w:p>
            <w:pPr>
              <w:rPr>
                <w:rFonts w:ascii="Calibri" w:hAnsi="Calibri"/>
              </w:rPr>
            </w:pPr>
            <w:r>
              <w:rPr>
                <w:rFonts w:ascii="Calibri" w:hAnsi="Calibri"/>
              </w:rPr>
              <w:t xml:space="preserve">Any safeguarding Issues: </w:t>
            </w:r>
          </w:p>
        </w:tc>
      </w:tr>
      <w:tr>
        <w:trPr>
          <w:trHeight w:val="288"/>
        </w:trPr>
        <w:tc>
          <w:tcPr>
            <w:tcW w:w="10314" w:type="dxa"/>
            <w:gridSpan w:val="5"/>
          </w:tcPr>
          <w:p>
            <w:pPr>
              <w:rPr>
                <w:rFonts w:asciiTheme="minorHAnsi" w:hAnsiTheme="minorHAnsi" w:cstheme="minorHAnsi"/>
                <w:b/>
              </w:rPr>
            </w:pPr>
            <w:r>
              <w:rPr>
                <w:rFonts w:asciiTheme="minorHAnsi" w:hAnsiTheme="minorHAnsi" w:cstheme="minorHAnsi"/>
                <w:b/>
              </w:rPr>
              <w:t>Governor comments:</w:t>
            </w:r>
          </w:p>
          <w:p>
            <w:pPr>
              <w:rPr>
                <w:rFonts w:asciiTheme="minorHAnsi" w:hAnsiTheme="minorHAnsi" w:cstheme="minorHAnsi"/>
              </w:rPr>
            </w:pPr>
            <w:r>
              <w:rPr>
                <w:rFonts w:asciiTheme="minorHAnsi" w:hAnsiTheme="minorHAnsi" w:cstheme="minorHAnsi"/>
              </w:rPr>
              <w:t xml:space="preserve">Key discussion points </w:t>
            </w:r>
          </w:p>
          <w:p>
            <w:pPr>
              <w:rPr>
                <w:rFonts w:asciiTheme="minorHAnsi" w:hAnsiTheme="minorHAnsi" w:cstheme="minorHAnsi"/>
              </w:rPr>
            </w:pPr>
          </w:p>
          <w:p>
            <w:pPr>
              <w:rPr>
                <w:rFonts w:asciiTheme="minorHAnsi" w:hAnsiTheme="minorHAnsi" w:cstheme="minorHAnsi"/>
                <w:b/>
              </w:rPr>
            </w:pPr>
            <w:r>
              <w:rPr>
                <w:rFonts w:asciiTheme="minorHAnsi" w:hAnsiTheme="minorHAnsi" w:cstheme="minorHAnsi"/>
                <w:b/>
              </w:rPr>
              <w:t>Safeguarding update</w:t>
            </w:r>
            <w:r>
              <w:rPr>
                <w:rFonts w:asciiTheme="minorHAnsi" w:hAnsiTheme="minorHAnsi" w:cstheme="minorHAnsi"/>
                <w:b/>
              </w:rPr>
              <w:br/>
            </w:r>
          </w:p>
          <w:p>
            <w:pPr>
              <w:rPr>
                <w:rFonts w:asciiTheme="minorHAnsi" w:hAnsiTheme="minorHAnsi" w:cstheme="minorHAnsi"/>
              </w:rPr>
            </w:pPr>
            <w:r>
              <w:rPr>
                <w:rFonts w:asciiTheme="minorHAnsi" w:hAnsiTheme="minorHAnsi" w:cstheme="minorHAnsi"/>
              </w:rPr>
              <w:t xml:space="preserve">Updated SCR, safer recruitment (see changes under </w:t>
            </w:r>
            <w:proofErr w:type="spellStart"/>
            <w:r>
              <w:rPr>
                <w:rFonts w:asciiTheme="minorHAnsi" w:hAnsiTheme="minorHAnsi" w:cstheme="minorHAnsi"/>
              </w:rPr>
              <w:t>KCSiE</w:t>
            </w:r>
            <w:proofErr w:type="spellEnd"/>
            <w:r>
              <w:rPr>
                <w:rFonts w:asciiTheme="minorHAnsi" w:hAnsiTheme="minorHAnsi" w:cstheme="minorHAnsi"/>
              </w:rPr>
              <w:t xml:space="preserve">) </w:t>
            </w:r>
          </w:p>
          <w:p>
            <w:pPr>
              <w:rPr>
                <w:rFonts w:asciiTheme="minorHAnsi" w:hAnsiTheme="minorHAnsi" w:cstheme="minorHAnsi"/>
              </w:rPr>
            </w:pPr>
          </w:p>
          <w:p>
            <w:pPr>
              <w:rPr>
                <w:rFonts w:asciiTheme="minorHAnsi" w:hAnsiTheme="minorHAnsi" w:cstheme="minorHAnsi"/>
                <w:b/>
              </w:rPr>
            </w:pPr>
            <w:r>
              <w:rPr>
                <w:rFonts w:asciiTheme="minorHAnsi" w:hAnsiTheme="minorHAnsi" w:cstheme="minorHAnsi"/>
                <w:b/>
              </w:rPr>
              <w:t>Statutory building checks</w:t>
            </w:r>
          </w:p>
          <w:p>
            <w:pPr>
              <w:rPr>
                <w:rFonts w:asciiTheme="minorHAnsi" w:hAnsiTheme="minorHAnsi" w:cstheme="minorHAnsi"/>
              </w:rPr>
            </w:pPr>
          </w:p>
          <w:p>
            <w:pPr>
              <w:rPr>
                <w:rFonts w:asciiTheme="minorHAnsi" w:hAnsiTheme="minorHAnsi" w:cstheme="minorHAnsi"/>
                <w:b/>
              </w:rPr>
            </w:pPr>
            <w:r>
              <w:rPr>
                <w:rFonts w:asciiTheme="minorHAnsi" w:hAnsiTheme="minorHAnsi" w:cstheme="minorHAnsi"/>
                <w:b/>
              </w:rPr>
              <w:t xml:space="preserve">Recommendation </w:t>
            </w:r>
          </w:p>
          <w:p>
            <w:pPr>
              <w:rPr>
                <w:rFonts w:asciiTheme="minorHAnsi" w:hAnsiTheme="minorHAnsi" w:cstheme="minorHAnsi"/>
              </w:rPr>
            </w:pPr>
            <w:r>
              <w:rPr>
                <w:rFonts w:asciiTheme="minorHAnsi" w:hAnsiTheme="minorHAnsi" w:cstheme="minorHAnsi"/>
              </w:rPr>
              <w:t xml:space="preserve">Asbestos – works have been researched, work still to be booked in. </w:t>
            </w:r>
          </w:p>
          <w:p>
            <w:pPr>
              <w:rPr>
                <w:rFonts w:asciiTheme="minorHAnsi" w:hAnsiTheme="minorHAnsi" w:cstheme="minorHAnsi"/>
              </w:rPr>
            </w:pPr>
            <w:r>
              <w:rPr>
                <w:rFonts w:asciiTheme="minorHAnsi" w:hAnsiTheme="minorHAnsi" w:cstheme="minorHAnsi"/>
              </w:rPr>
              <w:t xml:space="preserve">Legionella recommendations have also been made. </w:t>
            </w:r>
          </w:p>
          <w:p>
            <w:pPr>
              <w:rPr>
                <w:rFonts w:asciiTheme="minorHAnsi" w:hAnsiTheme="minorHAnsi" w:cstheme="minorHAnsi"/>
              </w:rPr>
            </w:pPr>
            <w:r>
              <w:rPr>
                <w:rFonts w:asciiTheme="minorHAnsi" w:hAnsiTheme="minorHAnsi" w:cstheme="minorHAnsi"/>
              </w:rPr>
              <w:t xml:space="preserve">Regular checks are made for both Asbestos and Legionella. </w:t>
            </w:r>
          </w:p>
          <w:p>
            <w:pPr>
              <w:rPr>
                <w:rFonts w:asciiTheme="minorHAnsi" w:hAnsiTheme="minorHAnsi" w:cstheme="minorHAnsi"/>
              </w:rPr>
            </w:pPr>
          </w:p>
          <w:p>
            <w:pPr>
              <w:rPr>
                <w:rFonts w:asciiTheme="minorHAnsi" w:hAnsiTheme="minorHAnsi" w:cstheme="minorHAnsi"/>
              </w:rPr>
            </w:pPr>
          </w:p>
          <w:p>
            <w:pPr>
              <w:rPr>
                <w:rFonts w:asciiTheme="minorHAnsi" w:hAnsiTheme="minorHAnsi" w:cstheme="minorHAnsi"/>
              </w:rPr>
            </w:pPr>
            <w:r>
              <w:rPr>
                <w:rFonts w:asciiTheme="minorHAnsi" w:hAnsiTheme="minorHAnsi" w:cstheme="minorHAnsi"/>
              </w:rPr>
              <w:t>Visit from Legionella inspection (16.08.22) – FK concerned that advisories may have been an unnecessary waste of resources however the temperature threshold did not meet specifications. There were a few taps that needed a temp of 40 degrees</w:t>
            </w:r>
          </w:p>
          <w:p>
            <w:pPr>
              <w:rPr>
                <w:rFonts w:asciiTheme="minorHAnsi" w:hAnsiTheme="minorHAnsi" w:cstheme="minorHAnsi"/>
              </w:rPr>
            </w:pPr>
            <w:r>
              <w:rPr>
                <w:rFonts w:asciiTheme="minorHAnsi" w:hAnsiTheme="minorHAnsi" w:cstheme="minorHAnsi"/>
              </w:rPr>
              <w:t xml:space="preserve">Are there any actions from this inspection? </w:t>
            </w:r>
          </w:p>
          <w:p>
            <w:pPr>
              <w:pStyle w:val="ListParagraph"/>
              <w:numPr>
                <w:ilvl w:val="0"/>
                <w:numId w:val="4"/>
              </w:numPr>
              <w:rPr>
                <w:rFonts w:cstheme="minorHAnsi"/>
                <w:sz w:val="24"/>
                <w:szCs w:val="24"/>
              </w:rPr>
            </w:pPr>
            <w:r>
              <w:rPr>
                <w:rFonts w:cstheme="minorHAnsi"/>
                <w:sz w:val="24"/>
                <w:szCs w:val="24"/>
              </w:rPr>
              <w:t xml:space="preserve">Book in asbestos removal </w:t>
            </w:r>
          </w:p>
          <w:p>
            <w:pPr>
              <w:pStyle w:val="ListParagraph"/>
              <w:numPr>
                <w:ilvl w:val="0"/>
                <w:numId w:val="4"/>
              </w:numPr>
              <w:rPr>
                <w:rFonts w:cstheme="minorHAnsi"/>
                <w:sz w:val="24"/>
                <w:szCs w:val="24"/>
              </w:rPr>
            </w:pPr>
            <w:r>
              <w:rPr>
                <w:rFonts w:cstheme="minorHAnsi"/>
                <w:sz w:val="24"/>
                <w:szCs w:val="24"/>
              </w:rPr>
              <w:t xml:space="preserve">Follow up on quotes from Legionella inspection </w:t>
            </w:r>
          </w:p>
          <w:p>
            <w:pPr>
              <w:rPr>
                <w:rFonts w:asciiTheme="minorHAnsi" w:hAnsiTheme="minorHAnsi" w:cstheme="minorHAnsi"/>
              </w:rPr>
            </w:pPr>
            <w:r>
              <w:rPr>
                <w:rFonts w:asciiTheme="minorHAnsi" w:hAnsiTheme="minorHAnsi" w:cstheme="minorHAnsi"/>
                <w:b/>
                <w:i/>
              </w:rPr>
              <w:t>Additional comments</w:t>
            </w:r>
            <w:r>
              <w:rPr>
                <w:rFonts w:asciiTheme="minorHAnsi" w:hAnsiTheme="minorHAnsi" w:cstheme="minorHAnsi"/>
              </w:rPr>
              <w:t xml:space="preserve"> – FK tested the fire alarm in the holidays (weekly). A visit from RJ Fire was undertaken in August. The engineer brought new batteries. The alarms (and the emergency lighting) were checked. FK asked the engineer to provide a quote for replacement emergency lights where it was noted that some were not working. </w:t>
            </w:r>
          </w:p>
          <w:p>
            <w:pPr>
              <w:rPr>
                <w:rFonts w:asciiTheme="minorHAnsi" w:hAnsiTheme="minorHAnsi" w:cstheme="minorHAnsi"/>
              </w:rPr>
            </w:pPr>
            <w:r>
              <w:rPr>
                <w:rFonts w:asciiTheme="minorHAnsi" w:hAnsiTheme="minorHAnsi" w:cstheme="minorHAnsi"/>
              </w:rPr>
              <w:t xml:space="preserve">SN asked what happens about replacements – DWC explained that the extinguishers were checked bi-annually and out of date units were taken away. </w:t>
            </w:r>
          </w:p>
          <w:p>
            <w:pPr>
              <w:rPr>
                <w:rFonts w:asciiTheme="minorHAnsi" w:hAnsiTheme="minorHAnsi" w:cstheme="minorHAnsi"/>
              </w:rPr>
            </w:pPr>
          </w:p>
          <w:p>
            <w:pPr>
              <w:rPr>
                <w:rFonts w:asciiTheme="minorHAnsi" w:hAnsiTheme="minorHAnsi" w:cstheme="minorHAnsi"/>
              </w:rPr>
            </w:pPr>
          </w:p>
          <w:p>
            <w:pPr>
              <w:rPr>
                <w:rFonts w:asciiTheme="minorHAnsi" w:hAnsiTheme="minorHAnsi" w:cstheme="minorHAnsi"/>
                <w:b/>
              </w:rPr>
            </w:pPr>
            <w:r>
              <w:rPr>
                <w:rFonts w:asciiTheme="minorHAnsi" w:hAnsiTheme="minorHAnsi" w:cstheme="minorHAnsi"/>
                <w:b/>
              </w:rPr>
              <w:t>H&amp;S CPD training</w:t>
            </w:r>
          </w:p>
          <w:p>
            <w:pPr>
              <w:rPr>
                <w:rFonts w:asciiTheme="minorHAnsi" w:hAnsiTheme="minorHAnsi" w:cstheme="minorHAnsi"/>
                <w:b/>
              </w:rPr>
            </w:pPr>
            <w:r>
              <w:rPr>
                <w:rFonts w:asciiTheme="minorHAnsi" w:hAnsiTheme="minorHAnsi" w:cstheme="minorHAnsi"/>
                <w:b/>
              </w:rPr>
              <w:t xml:space="preserve"> </w:t>
            </w:r>
          </w:p>
          <w:p>
            <w:pPr>
              <w:rPr>
                <w:rFonts w:asciiTheme="minorHAnsi" w:hAnsiTheme="minorHAnsi" w:cstheme="minorHAnsi"/>
              </w:rPr>
            </w:pPr>
            <w:r>
              <w:rPr>
                <w:rFonts w:asciiTheme="minorHAnsi" w:hAnsiTheme="minorHAnsi" w:cstheme="minorHAnsi"/>
              </w:rPr>
              <w:t xml:space="preserve">DWC will book  IW/DWC/FK onto legionella training and asbestos training (2023/24) </w:t>
            </w:r>
          </w:p>
          <w:p>
            <w:pPr>
              <w:rPr>
                <w:rFonts w:asciiTheme="minorHAnsi" w:hAnsiTheme="minorHAnsi" w:cstheme="minorHAnsi"/>
              </w:rPr>
            </w:pPr>
            <w:r>
              <w:rPr>
                <w:rFonts w:asciiTheme="minorHAnsi" w:hAnsiTheme="minorHAnsi" w:cstheme="minorHAnsi"/>
              </w:rPr>
              <w:t xml:space="preserve">DWC has attended School H&amp;S management and Risk Assessment training. 12 and 14/07/22 </w:t>
            </w:r>
          </w:p>
          <w:p>
            <w:pPr>
              <w:rPr>
                <w:rFonts w:asciiTheme="minorHAnsi" w:hAnsiTheme="minorHAnsi" w:cstheme="minorHAnsi"/>
              </w:rPr>
            </w:pPr>
          </w:p>
          <w:p>
            <w:pPr>
              <w:rPr>
                <w:rFonts w:asciiTheme="minorHAnsi" w:hAnsiTheme="minorHAnsi" w:cstheme="minorHAnsi"/>
                <w:b/>
              </w:rPr>
            </w:pPr>
            <w:r>
              <w:rPr>
                <w:rFonts w:asciiTheme="minorHAnsi" w:hAnsiTheme="minorHAnsi" w:cstheme="minorHAnsi"/>
                <w:b/>
              </w:rPr>
              <w:lastRenderedPageBreak/>
              <w:t>Termly Premises Inspections</w:t>
            </w:r>
          </w:p>
          <w:p>
            <w:pPr>
              <w:rPr>
                <w:rFonts w:asciiTheme="minorHAnsi" w:hAnsiTheme="minorHAnsi" w:cstheme="minorHAnsi"/>
                <w:b/>
              </w:rPr>
            </w:pPr>
          </w:p>
          <w:p>
            <w:pPr>
              <w:rPr>
                <w:rFonts w:asciiTheme="minorHAnsi" w:hAnsiTheme="minorHAnsi" w:cstheme="minorHAnsi"/>
              </w:rPr>
            </w:pPr>
            <w:r>
              <w:rPr>
                <w:rFonts w:asciiTheme="minorHAnsi" w:hAnsiTheme="minorHAnsi" w:cstheme="minorHAnsi"/>
              </w:rPr>
              <w:t xml:space="preserve">Almost all actions completed except the floor in Year R and 1. </w:t>
            </w:r>
          </w:p>
          <w:p>
            <w:pPr>
              <w:rPr>
                <w:rFonts w:asciiTheme="minorHAnsi" w:hAnsiTheme="minorHAnsi" w:cstheme="minorHAnsi"/>
              </w:rPr>
            </w:pPr>
          </w:p>
          <w:p>
            <w:pPr>
              <w:rPr>
                <w:rFonts w:asciiTheme="minorHAnsi" w:hAnsiTheme="minorHAnsi" w:cstheme="minorHAnsi"/>
              </w:rPr>
            </w:pPr>
            <w:r>
              <w:rPr>
                <w:rFonts w:asciiTheme="minorHAnsi" w:hAnsiTheme="minorHAnsi" w:cstheme="minorHAnsi"/>
                <w:b/>
                <w:i/>
              </w:rPr>
              <w:t>Actions from Autumn Term Inspection</w:t>
            </w:r>
            <w:r>
              <w:rPr>
                <w:rFonts w:asciiTheme="minorHAnsi" w:hAnsiTheme="minorHAnsi" w:cstheme="minorHAnsi"/>
              </w:rPr>
              <w:t xml:space="preserve"> </w:t>
            </w:r>
          </w:p>
          <w:p>
            <w:pPr>
              <w:rPr>
                <w:rFonts w:asciiTheme="minorHAnsi" w:hAnsiTheme="minorHAnsi" w:cstheme="minorHAnsi"/>
              </w:rPr>
            </w:pPr>
            <w:r>
              <w:rPr>
                <w:rFonts w:asciiTheme="minorHAnsi" w:hAnsiTheme="minorHAnsi" w:cstheme="minorHAnsi"/>
              </w:rPr>
              <w:t xml:space="preserve">Repainting woodwork around the school </w:t>
            </w:r>
          </w:p>
          <w:p>
            <w:pPr>
              <w:rPr>
                <w:rFonts w:asciiTheme="minorHAnsi" w:hAnsiTheme="minorHAnsi" w:cstheme="minorHAnsi"/>
              </w:rPr>
            </w:pPr>
            <w:r>
              <w:rPr>
                <w:rFonts w:asciiTheme="minorHAnsi" w:hAnsiTheme="minorHAnsi" w:cstheme="minorHAnsi"/>
              </w:rPr>
              <w:t>Toilets in Year R</w:t>
            </w:r>
          </w:p>
          <w:p>
            <w:pPr>
              <w:rPr>
                <w:rFonts w:asciiTheme="minorHAnsi" w:hAnsiTheme="minorHAnsi" w:cstheme="minorHAnsi"/>
              </w:rPr>
            </w:pPr>
            <w:r>
              <w:rPr>
                <w:rFonts w:asciiTheme="minorHAnsi" w:hAnsiTheme="minorHAnsi" w:cstheme="minorHAnsi"/>
              </w:rPr>
              <w:t>Edging in Y5</w:t>
            </w:r>
          </w:p>
          <w:p>
            <w:pPr>
              <w:rPr>
                <w:rFonts w:asciiTheme="minorHAnsi" w:hAnsiTheme="minorHAnsi" w:cstheme="minorHAnsi"/>
              </w:rPr>
            </w:pPr>
            <w:r>
              <w:rPr>
                <w:rFonts w:asciiTheme="minorHAnsi" w:hAnsiTheme="minorHAnsi" w:cstheme="minorHAnsi"/>
              </w:rPr>
              <w:t xml:space="preserve">Clearing drains and gutters (ongoing) </w:t>
            </w:r>
            <w:r>
              <w:rPr>
                <w:rFonts w:asciiTheme="minorHAnsi" w:hAnsiTheme="minorHAnsi" w:cstheme="minorHAnsi"/>
              </w:rPr>
              <w:br/>
            </w:r>
          </w:p>
          <w:p>
            <w:pPr>
              <w:rPr>
                <w:rFonts w:asciiTheme="minorHAnsi" w:hAnsiTheme="minorHAnsi" w:cstheme="minorHAnsi"/>
              </w:rPr>
            </w:pPr>
            <w:r>
              <w:rPr>
                <w:rFonts w:asciiTheme="minorHAnsi" w:hAnsiTheme="minorHAnsi" w:cstheme="minorHAnsi"/>
              </w:rPr>
              <w:t>Has the premises been inspected this term by the Premises Manager and School Business Manager?</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pPr>
              <w:rPr>
                <w:rFonts w:asciiTheme="minorHAnsi" w:hAnsiTheme="minorHAnsi" w:cstheme="minorHAnsi"/>
                <w:b/>
              </w:rPr>
            </w:pPr>
            <w:r>
              <w:rPr>
                <w:rFonts w:asciiTheme="minorHAnsi" w:hAnsiTheme="minorHAnsi" w:cstheme="minorHAnsi"/>
                <w:b/>
              </w:rPr>
              <w:t xml:space="preserve">Policies </w:t>
            </w:r>
          </w:p>
          <w:p>
            <w:pPr>
              <w:rPr>
                <w:rFonts w:asciiTheme="minorHAnsi" w:hAnsiTheme="minorHAnsi" w:cstheme="minorHAnsi"/>
              </w:rPr>
            </w:pPr>
            <w:r>
              <w:rPr>
                <w:rFonts w:asciiTheme="minorHAnsi" w:hAnsiTheme="minorHAnsi" w:cstheme="minorHAnsi"/>
              </w:rPr>
              <w:t xml:space="preserve">All Health &amp; Safety policies completed </w:t>
            </w:r>
          </w:p>
          <w:p>
            <w:pPr>
              <w:rPr>
                <w:rFonts w:asciiTheme="minorHAnsi" w:hAnsiTheme="minorHAnsi" w:cstheme="minorHAnsi"/>
              </w:rPr>
            </w:pPr>
            <w:r>
              <w:rPr>
                <w:rFonts w:asciiTheme="minorHAnsi" w:hAnsiTheme="minorHAnsi" w:cstheme="minorHAnsi"/>
              </w:rPr>
              <w:t xml:space="preserve">Safeguarding policy being updated. All DSLs have contributed. Teachers and TAs will also be asked to contribute. </w:t>
            </w:r>
          </w:p>
          <w:p>
            <w:pPr>
              <w:rPr>
                <w:rFonts w:asciiTheme="minorHAnsi" w:hAnsiTheme="minorHAnsi" w:cstheme="minorHAnsi"/>
              </w:rPr>
            </w:pPr>
          </w:p>
          <w:p>
            <w:pPr>
              <w:rPr>
                <w:rFonts w:asciiTheme="minorHAnsi" w:hAnsiTheme="minorHAnsi" w:cstheme="minorHAnsi"/>
              </w:rPr>
            </w:pPr>
            <w:r>
              <w:rPr>
                <w:rFonts w:asciiTheme="minorHAnsi" w:hAnsiTheme="minorHAnsi" w:cstheme="minorHAnsi"/>
                <w:b/>
              </w:rPr>
              <w:t>Risk Assessments</w:t>
            </w:r>
            <w:r>
              <w:rPr>
                <w:rFonts w:asciiTheme="minorHAnsi" w:hAnsiTheme="minorHAnsi" w:cstheme="minorHAnsi"/>
              </w:rPr>
              <w:t xml:space="preserve"> </w:t>
            </w:r>
          </w:p>
          <w:p>
            <w:pPr>
              <w:rPr>
                <w:rFonts w:asciiTheme="minorHAnsi" w:hAnsiTheme="minorHAnsi" w:cstheme="minorHAnsi"/>
              </w:rPr>
            </w:pPr>
            <w:r>
              <w:rPr>
                <w:rFonts w:asciiTheme="minorHAnsi" w:hAnsiTheme="minorHAnsi" w:cstheme="minorHAnsi"/>
              </w:rPr>
              <w:t xml:space="preserve">These are all completed and will be reviewed in March 20223. </w:t>
            </w:r>
          </w:p>
          <w:p>
            <w:pPr>
              <w:rPr>
                <w:rFonts w:asciiTheme="minorHAnsi" w:hAnsiTheme="minorHAnsi" w:cstheme="minorHAnsi"/>
              </w:rPr>
            </w:pPr>
          </w:p>
          <w:p>
            <w:pPr>
              <w:rPr>
                <w:rFonts w:asciiTheme="minorHAnsi" w:hAnsiTheme="minorHAnsi" w:cstheme="minorHAnsi"/>
                <w:b/>
              </w:rPr>
            </w:pPr>
            <w:r>
              <w:rPr>
                <w:rFonts w:asciiTheme="minorHAnsi" w:hAnsiTheme="minorHAnsi" w:cstheme="minorHAnsi"/>
                <w:b/>
              </w:rPr>
              <w:t xml:space="preserve">Other </w:t>
            </w:r>
          </w:p>
          <w:p>
            <w:pPr>
              <w:rPr>
                <w:rFonts w:cstheme="minorHAnsi"/>
              </w:rPr>
            </w:pPr>
            <w:r>
              <w:rPr>
                <w:rFonts w:cstheme="minorHAnsi"/>
              </w:rPr>
              <w:t xml:space="preserve">SN asked - What is the risk assessment for Trinity Farm`? A discussion was held. It was agreed that KB would be asked to do a subsidiary Trinity Farm Risk Assessment to compliment the Trinity Farm Animal Care Plan and the premises inspection. </w:t>
            </w:r>
          </w:p>
          <w:p>
            <w:pPr>
              <w:rPr>
                <w:rFonts w:cstheme="minorHAnsi"/>
              </w:rPr>
            </w:pPr>
          </w:p>
          <w:p>
            <w:pPr>
              <w:rPr>
                <w:rFonts w:asciiTheme="minorHAnsi" w:hAnsiTheme="minorHAnsi" w:cstheme="minorHAnsi"/>
                <w:b/>
              </w:rPr>
            </w:pPr>
            <w:r>
              <w:rPr>
                <w:rFonts w:asciiTheme="minorHAnsi" w:hAnsiTheme="minorHAnsi" w:cstheme="minorHAnsi"/>
                <w:b/>
              </w:rPr>
              <w:t>AOB</w:t>
            </w:r>
          </w:p>
          <w:p>
            <w:pPr>
              <w:rPr>
                <w:rFonts w:asciiTheme="minorHAnsi" w:hAnsiTheme="minorHAnsi" w:cstheme="minorHAnsi"/>
              </w:rPr>
            </w:pPr>
          </w:p>
          <w:p>
            <w:pPr>
              <w:rPr>
                <w:rFonts w:cstheme="minorHAnsi"/>
              </w:rPr>
            </w:pPr>
            <w:r>
              <w:rPr>
                <w:rFonts w:cstheme="minorHAnsi"/>
                <w:b/>
                <w:i/>
              </w:rPr>
              <w:t>Dinner tables</w:t>
            </w:r>
            <w:r>
              <w:rPr>
                <w:rFonts w:cstheme="minorHAnsi"/>
              </w:rPr>
              <w:t xml:space="preserve"> – FK raised the issue of tables in the hall for lunch times. A recent recommendation from a Speech and Language specialist and a longer term plan.</w:t>
            </w:r>
          </w:p>
          <w:p>
            <w:pPr>
              <w:pStyle w:val="ListParagraph"/>
              <w:ind w:left="420"/>
              <w:rPr>
                <w:rFonts w:cstheme="minorHAnsi"/>
                <w:sz w:val="24"/>
                <w:szCs w:val="24"/>
              </w:rPr>
            </w:pPr>
          </w:p>
          <w:p>
            <w:pPr>
              <w:rPr>
                <w:rFonts w:cstheme="minorHAnsi"/>
                <w:b/>
                <w:i/>
              </w:rPr>
            </w:pPr>
            <w:r>
              <w:rPr>
                <w:rFonts w:cstheme="minorHAnsi"/>
                <w:b/>
                <w:i/>
              </w:rPr>
              <w:t xml:space="preserve">Garage - </w:t>
            </w:r>
            <w:r>
              <w:rPr>
                <w:rFonts w:cstheme="minorHAnsi"/>
              </w:rPr>
              <w:t xml:space="preserve">School needs to reorder the ‘PTFA garage’ in order to make room for additional equipment and furniture. </w:t>
            </w:r>
          </w:p>
          <w:p>
            <w:pPr>
              <w:pStyle w:val="ListParagraph"/>
              <w:ind w:left="420"/>
              <w:rPr>
                <w:rFonts w:cstheme="minorHAnsi"/>
                <w:sz w:val="24"/>
                <w:szCs w:val="24"/>
              </w:rPr>
            </w:pPr>
          </w:p>
          <w:p>
            <w:pPr>
              <w:rPr>
                <w:rFonts w:cstheme="minorHAnsi"/>
              </w:rPr>
            </w:pPr>
            <w:r>
              <w:rPr>
                <w:rFonts w:cstheme="minorHAnsi"/>
                <w:b/>
                <w:i/>
              </w:rPr>
              <w:t>Heat pumps</w:t>
            </w:r>
            <w:r>
              <w:rPr>
                <w:rFonts w:cstheme="minorHAnsi"/>
              </w:rPr>
              <w:t>– There has been a problem with the heat pumps. FK explained the erection and recommended disassembly of the brackets for the pumps themselves. The pumps are currently down on the ground. DWC has informed the Diocese who were grateful for his email.</w:t>
            </w:r>
          </w:p>
          <w:p>
            <w:pPr>
              <w:rPr>
                <w:rFonts w:asciiTheme="minorHAnsi" w:hAnsiTheme="minorHAnsi" w:cstheme="minorHAnsi"/>
                <w:b/>
                <w:i/>
              </w:rPr>
            </w:pPr>
          </w:p>
          <w:p>
            <w:pPr>
              <w:rPr>
                <w:rFonts w:cstheme="minorHAnsi"/>
                <w:b/>
                <w:i/>
              </w:rPr>
            </w:pPr>
            <w:r>
              <w:rPr>
                <w:rFonts w:cstheme="minorHAnsi"/>
                <w:b/>
                <w:i/>
              </w:rPr>
              <w:t>Lockdown drill</w:t>
            </w:r>
          </w:p>
          <w:p>
            <w:pPr>
              <w:rPr>
                <w:rFonts w:cstheme="minorHAnsi"/>
              </w:rPr>
            </w:pPr>
            <w:r>
              <w:rPr>
                <w:rFonts w:cstheme="minorHAnsi"/>
              </w:rPr>
              <w:t xml:space="preserve">All processes are followed. DWC – how is the lockdown bell operated? </w:t>
            </w:r>
          </w:p>
          <w:p>
            <w:pPr>
              <w:rPr>
                <w:rFonts w:cstheme="minorHAnsi"/>
              </w:rPr>
            </w:pPr>
            <w:r>
              <w:rPr>
                <w:rFonts w:cstheme="minorHAnsi"/>
              </w:rPr>
              <w:t xml:space="preserve">FK: How is the lockdown drill activated? A discussion was held about het systems, which are in place currently. It was agreed that a pulsating bell using the internal bells ringer had weaknesses. It was agreed that the issue would be raised in an item in the next H&amp;S monitoring meeting. </w:t>
            </w:r>
          </w:p>
          <w:p>
            <w:pPr>
              <w:rPr>
                <w:rFonts w:cstheme="minorHAnsi"/>
              </w:rPr>
            </w:pPr>
          </w:p>
          <w:p>
            <w:pPr>
              <w:rPr>
                <w:rFonts w:cstheme="minorHAnsi"/>
                <w:b/>
                <w:i/>
              </w:rPr>
            </w:pPr>
            <w:r>
              <w:rPr>
                <w:rFonts w:cstheme="minorHAnsi"/>
                <w:b/>
                <w:i/>
              </w:rPr>
              <w:t xml:space="preserve">Trees </w:t>
            </w:r>
          </w:p>
          <w:p>
            <w:pPr>
              <w:rPr>
                <w:rFonts w:cstheme="minorHAnsi"/>
              </w:rPr>
            </w:pPr>
            <w:r>
              <w:rPr>
                <w:rFonts w:cstheme="minorHAnsi"/>
              </w:rPr>
              <w:t>SN asked about the quote for trees. DWC said that the Ash trees had been done. The second visit is focusing on raising the crowns and cutting back any dead wood</w:t>
            </w:r>
          </w:p>
          <w:p>
            <w:pPr>
              <w:rPr>
                <w:rFonts w:cstheme="minorHAnsi"/>
              </w:rPr>
            </w:pPr>
          </w:p>
          <w:p>
            <w:pPr>
              <w:rPr>
                <w:rFonts w:cstheme="minorHAnsi"/>
                <w:b/>
                <w:i/>
              </w:rPr>
            </w:pPr>
            <w:r>
              <w:rPr>
                <w:rFonts w:cstheme="minorHAnsi"/>
                <w:b/>
                <w:i/>
              </w:rPr>
              <w:t xml:space="preserve">Security of Assets </w:t>
            </w:r>
          </w:p>
          <w:p>
            <w:pPr>
              <w:rPr>
                <w:rFonts w:cstheme="minorHAnsi"/>
                <w:b/>
                <w:i/>
              </w:rPr>
            </w:pPr>
          </w:p>
          <w:p>
            <w:pPr>
              <w:rPr>
                <w:rFonts w:cstheme="minorHAnsi"/>
              </w:rPr>
            </w:pPr>
            <w:r>
              <w:rPr>
                <w:rFonts w:cstheme="minorHAnsi"/>
              </w:rPr>
              <w:t>DWC shared information from the Surrey finance advice is that schools should keep an inventory of assets. SN raised the point re insurance. DWC believes a whole school inventory could be completed with the teachers’ help.</w:t>
            </w:r>
          </w:p>
        </w:tc>
      </w:tr>
      <w:tr>
        <w:trPr>
          <w:trHeight w:val="288"/>
        </w:trPr>
        <w:tc>
          <w:tcPr>
            <w:tcW w:w="10314" w:type="dxa"/>
            <w:gridSpan w:val="5"/>
          </w:tcPr>
          <w:p>
            <w:pPr>
              <w:rPr>
                <w:rFonts w:ascii="Calibri" w:hAnsi="Calibri"/>
              </w:rPr>
            </w:pPr>
            <w:r>
              <w:rPr>
                <w:rFonts w:ascii="Calibri" w:hAnsi="Calibri"/>
              </w:rPr>
              <w:lastRenderedPageBreak/>
              <w:t xml:space="preserve">Key Issues/Actions for GB: </w:t>
            </w:r>
          </w:p>
          <w:p>
            <w:pPr>
              <w:rPr>
                <w:rFonts w:ascii="Calibri" w:hAnsi="Calibri"/>
              </w:rPr>
            </w:pPr>
          </w:p>
          <w:p>
            <w:pPr>
              <w:rPr>
                <w:rFonts w:ascii="Calibri" w:hAnsi="Calibri"/>
              </w:rPr>
            </w:pPr>
            <w:r>
              <w:rPr>
                <w:rFonts w:ascii="Calibri" w:hAnsi="Calibri"/>
              </w:rPr>
              <w:t>Removal of asbestos to be arranged.</w:t>
            </w:r>
          </w:p>
          <w:p>
            <w:pPr>
              <w:rPr>
                <w:rFonts w:ascii="Calibri" w:hAnsi="Calibri"/>
              </w:rPr>
            </w:pPr>
            <w:r>
              <w:rPr>
                <w:rFonts w:ascii="Calibri" w:hAnsi="Calibri"/>
              </w:rPr>
              <w:t>Although the school were given heat pumps to make our use of energy more efficient they are not yet in use and with the price of energy now being so high they are unlikely to bring our fuel bills now very much if at all.</w:t>
            </w: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tc>
      </w:tr>
      <w:tr>
        <w:trPr>
          <w:trHeight w:val="288"/>
        </w:trPr>
        <w:tc>
          <w:tcPr>
            <w:tcW w:w="10314" w:type="dxa"/>
            <w:gridSpan w:val="5"/>
          </w:tcPr>
          <w:p>
            <w:pPr>
              <w:rPr>
                <w:rFonts w:ascii="Calibri" w:hAnsi="Calibri"/>
              </w:rPr>
            </w:pPr>
            <w:r>
              <w:rPr>
                <w:rFonts w:ascii="Calibri" w:hAnsi="Calibri"/>
              </w:rPr>
              <w:t>Action agreed in GB meeting with regard to visit:</w:t>
            </w:r>
          </w:p>
          <w:p>
            <w:pPr>
              <w:rPr>
                <w:rFonts w:ascii="Calibri" w:hAnsi="Calibri"/>
              </w:rPr>
            </w:pPr>
          </w:p>
          <w:p>
            <w:pPr>
              <w:rPr>
                <w:rFonts w:ascii="Calibri" w:hAnsi="Calibri"/>
              </w:rPr>
            </w:pPr>
          </w:p>
          <w:p>
            <w:pPr>
              <w:rPr>
                <w:rFonts w:ascii="Calibri" w:hAnsi="Calibri"/>
              </w:rPr>
            </w:pPr>
          </w:p>
        </w:tc>
      </w:tr>
    </w:tbl>
    <w:p>
      <w:pPr>
        <w:rPr>
          <w:rFonts w:ascii="Calibri" w:hAnsi="Calibri"/>
          <w:b/>
          <w:sz w:val="28"/>
          <w:szCs w:val="28"/>
          <w:u w:val="single"/>
        </w:rPr>
      </w:pPr>
    </w:p>
    <w:p/>
    <w:sectPr>
      <w:pgSz w:w="12240" w:h="15840"/>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A6C51"/>
    <w:multiLevelType w:val="hybridMultilevel"/>
    <w:tmpl w:val="F3F8384A"/>
    <w:lvl w:ilvl="0" w:tplc="15EEC4C2">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BF109A"/>
    <w:multiLevelType w:val="hybridMultilevel"/>
    <w:tmpl w:val="5170AE88"/>
    <w:lvl w:ilvl="0" w:tplc="77929F6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8DC3E38"/>
    <w:multiLevelType w:val="hybridMultilevel"/>
    <w:tmpl w:val="5AD0593C"/>
    <w:lvl w:ilvl="0" w:tplc="77929F6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0C2210C"/>
    <w:multiLevelType w:val="hybridMultilevel"/>
    <w:tmpl w:val="B7FE0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E987583"/>
    <w:multiLevelType w:val="hybridMultilevel"/>
    <w:tmpl w:val="48A69176"/>
    <w:lvl w:ilvl="0" w:tplc="074657D0">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 w15:restartNumberingAfterBreak="0">
    <w:nsid w:val="68530549"/>
    <w:multiLevelType w:val="hybridMultilevel"/>
    <w:tmpl w:val="ED160E68"/>
    <w:lvl w:ilvl="0" w:tplc="77929F6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18F3E907-3982-4273-A71C-7FC9C7DF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spacing w:after="160" w:line="259" w:lineRule="auto"/>
      <w:ind w:left="720"/>
      <w:contextualSpacing/>
    </w:pPr>
    <w:rPr>
      <w:rFonts w:asciiTheme="minorHAnsi" w:eastAsiaTheme="minorHAnsi" w:hAnsiTheme="minorHAnsi" w:cstheme="minorBid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658</Words>
  <Characters>3756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Philippa Assender</dc:creator>
  <cp:lastModifiedBy>Nutfield Church Primary School Office</cp:lastModifiedBy>
  <cp:revision>2</cp:revision>
  <dcterms:created xsi:type="dcterms:W3CDTF">2022-11-21T13:58:00Z</dcterms:created>
  <dcterms:modified xsi:type="dcterms:W3CDTF">2022-11-21T13:58:00Z</dcterms:modified>
</cp:coreProperties>
</file>