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center"/>
        <w:rPr>
          <w:rFonts w:asciiTheme="minorHAnsi" w:eastAsia="Times New Roman" w:hAnsiTheme="minorHAnsi" w:cstheme="minorHAnsi"/>
          <w:b/>
          <w:lang w:val="en-GB" w:eastAsia="en-GB"/>
        </w:rPr>
      </w:pPr>
      <w:bookmarkStart w:id="0" w:name="_GoBack"/>
      <w:bookmarkEnd w:id="0"/>
      <w:r>
        <w:rPr>
          <w:rFonts w:asciiTheme="minorHAnsi" w:eastAsia="Times New Roman" w:hAnsiTheme="minorHAnsi" w:cstheme="minorHAnsi"/>
          <w:noProof/>
          <w:color w:val="0000FF"/>
          <w:lang w:val="en-GB" w:eastAsia="en-GB"/>
        </w:rPr>
        <w:drawing>
          <wp:inline distT="0" distB="0" distL="0" distR="0">
            <wp:extent cx="855980" cy="1038860"/>
            <wp:effectExtent l="0" t="0" r="0" b="0"/>
            <wp:docPr id="1"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5980" cy="1038860"/>
                    </a:xfrm>
                    <a:prstGeom prst="rect">
                      <a:avLst/>
                    </a:prstGeom>
                    <a:noFill/>
                    <a:ln>
                      <a:noFill/>
                    </a:ln>
                  </pic:spPr>
                </pic:pic>
              </a:graphicData>
            </a:graphic>
          </wp:inline>
        </w:drawing>
      </w:r>
      <w:r>
        <w:rPr>
          <w:rFonts w:asciiTheme="minorHAnsi" w:eastAsia="Times New Roman" w:hAnsiTheme="minorHAnsi" w:cstheme="minorHAnsi"/>
          <w:b/>
          <w:lang w:val="en-GB" w:eastAsia="en-GB"/>
        </w:rPr>
        <w:t>NUTFIELD CHURCH (C OF E) PRIMARY SCHOOL</w:t>
      </w:r>
      <w:r>
        <w:rPr>
          <w:rFonts w:asciiTheme="minorHAnsi" w:eastAsia="Times New Roman" w:hAnsiTheme="minorHAnsi" w:cstheme="minorHAnsi"/>
          <w:b/>
          <w:noProof/>
          <w:lang w:val="en-GB" w:eastAsia="en-GB"/>
        </w:rPr>
        <w:drawing>
          <wp:inline distT="0" distB="0" distL="0" distR="0">
            <wp:extent cx="1002030" cy="1250950"/>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2030" cy="1250950"/>
                    </a:xfrm>
                    <a:prstGeom prst="rect">
                      <a:avLst/>
                    </a:prstGeom>
                    <a:noFill/>
                    <a:ln>
                      <a:noFill/>
                    </a:ln>
                  </pic:spPr>
                </pic:pic>
              </a:graphicData>
            </a:graphic>
          </wp:inline>
        </w:drawing>
      </w:r>
    </w:p>
    <w:p>
      <w:pPr>
        <w:spacing w:after="0" w:line="240" w:lineRule="auto"/>
        <w:jc w:val="center"/>
        <w:rPr>
          <w:rFonts w:asciiTheme="minorHAnsi" w:eastAsia="Times New Roman" w:hAnsiTheme="minorHAnsi" w:cstheme="minorHAnsi"/>
          <w:b/>
          <w:lang w:val="en-GB" w:eastAsia="en-GB"/>
        </w:rPr>
      </w:pPr>
      <w:r>
        <w:rPr>
          <w:rFonts w:asciiTheme="minorHAnsi" w:hAnsiTheme="minorHAnsi" w:cstheme="minorHAnsi"/>
        </w:rPr>
        <w:t>Headteacher’s termly report to the Governors</w:t>
      </w:r>
    </w:p>
    <w:p>
      <w:pPr>
        <w:spacing w:after="0" w:line="240" w:lineRule="auto"/>
        <w:jc w:val="center"/>
        <w:rPr>
          <w:rFonts w:asciiTheme="minorHAnsi" w:eastAsia="Times New Roman" w:hAnsiTheme="minorHAnsi" w:cstheme="minorHAnsi"/>
          <w:b/>
          <w:lang w:val="en-GB" w:eastAsia="en-GB"/>
        </w:rPr>
      </w:pPr>
      <w:r>
        <w:rPr>
          <w:rFonts w:asciiTheme="minorHAnsi" w:eastAsia="Times New Roman" w:hAnsiTheme="minorHAnsi" w:cstheme="minorHAnsi"/>
          <w:b/>
          <w:lang w:val="en-GB" w:eastAsia="en-GB"/>
        </w:rPr>
        <w:t xml:space="preserve">Autumn 2022 </w:t>
      </w:r>
    </w:p>
    <w:p>
      <w:pPr>
        <w:spacing w:after="0" w:line="240" w:lineRule="auto"/>
        <w:jc w:val="center"/>
        <w:rPr>
          <w:rFonts w:asciiTheme="minorHAnsi" w:eastAsia="Times New Roman" w:hAnsiTheme="minorHAnsi" w:cstheme="minorHAnsi"/>
          <w:b/>
          <w:lang w:val="en-GB" w:eastAsia="en-GB"/>
        </w:rPr>
      </w:pPr>
    </w:p>
    <w:tbl>
      <w:tblPr>
        <w:tblStyle w:val="TableGrid"/>
        <w:tblW w:w="0" w:type="auto"/>
        <w:tblLook w:val="04A0" w:firstRow="1" w:lastRow="0" w:firstColumn="1" w:lastColumn="0" w:noHBand="0" w:noVBand="1"/>
      </w:tblPr>
      <w:tblGrid>
        <w:gridCol w:w="9016"/>
      </w:tblGrid>
      <w:tr>
        <w:trPr>
          <w:trHeight w:val="227"/>
        </w:trPr>
        <w:tc>
          <w:tcPr>
            <w:tcW w:w="9016" w:type="dxa"/>
            <w:shd w:val="clear" w:color="auto" w:fill="FFC000"/>
          </w:tcPr>
          <w:p>
            <w:pPr>
              <w:tabs>
                <w:tab w:val="left" w:pos="229"/>
                <w:tab w:val="left" w:pos="1113"/>
                <w:tab w:val="center" w:pos="4320"/>
              </w:tabs>
              <w:autoSpaceDE w:val="0"/>
              <w:autoSpaceDN w:val="0"/>
              <w:adjustRightInd w:val="0"/>
              <w:spacing w:after="0" w:line="240" w:lineRule="auto"/>
              <w:jc w:val="center"/>
              <w:rPr>
                <w:rFonts w:asciiTheme="minorHAnsi" w:hAnsiTheme="minorHAnsi" w:cstheme="minorHAnsi"/>
                <w:b/>
              </w:rPr>
            </w:pPr>
            <w:r>
              <w:rPr>
                <w:rFonts w:asciiTheme="minorHAnsi" w:hAnsiTheme="minorHAnsi" w:cstheme="minorHAnsi"/>
                <w:b/>
              </w:rPr>
              <w:t xml:space="preserve">Headteacher’s report to the Governors </w:t>
            </w:r>
          </w:p>
          <w:p>
            <w:pPr>
              <w:tabs>
                <w:tab w:val="left" w:pos="229"/>
                <w:tab w:val="left" w:pos="1113"/>
                <w:tab w:val="center" w:pos="4320"/>
              </w:tabs>
              <w:autoSpaceDE w:val="0"/>
              <w:autoSpaceDN w:val="0"/>
              <w:adjustRightInd w:val="0"/>
              <w:spacing w:after="0" w:line="240" w:lineRule="auto"/>
              <w:jc w:val="center"/>
              <w:rPr>
                <w:rFonts w:asciiTheme="minorHAnsi" w:hAnsiTheme="minorHAnsi" w:cstheme="minorHAnsi"/>
                <w:b/>
              </w:rPr>
            </w:pPr>
          </w:p>
        </w:tc>
      </w:tr>
      <w:tr>
        <w:tc>
          <w:tcPr>
            <w:tcW w:w="9016" w:type="dxa"/>
          </w:tcPr>
          <w:p>
            <w:pPr>
              <w:spacing w:after="0" w:line="240" w:lineRule="auto"/>
              <w:rPr>
                <w:rFonts w:asciiTheme="minorHAnsi" w:hAnsiTheme="minorHAnsi" w:cstheme="minorHAnsi"/>
                <w:b/>
                <w:lang w:val="en-GB"/>
              </w:rPr>
            </w:pPr>
          </w:p>
          <w:p>
            <w:pPr>
              <w:spacing w:after="0" w:line="240" w:lineRule="auto"/>
              <w:rPr>
                <w:rFonts w:asciiTheme="minorHAnsi" w:hAnsiTheme="minorHAnsi" w:cstheme="minorHAnsi"/>
                <w:b/>
                <w:lang w:val="en-GB"/>
              </w:rPr>
            </w:pPr>
            <w:r>
              <w:rPr>
                <w:rFonts w:asciiTheme="minorHAnsi" w:hAnsiTheme="minorHAnsi" w:cstheme="minorHAnsi"/>
                <w:b/>
                <w:lang w:val="en-GB"/>
              </w:rPr>
              <w:t xml:space="preserve">Vision and Values: </w:t>
            </w:r>
          </w:p>
          <w:p>
            <w:pPr>
              <w:autoSpaceDE w:val="0"/>
              <w:autoSpaceDN w:val="0"/>
              <w:adjustRightInd w:val="0"/>
              <w:spacing w:after="0" w:line="240" w:lineRule="auto"/>
              <w:rPr>
                <w:rFonts w:asciiTheme="minorHAnsi" w:hAnsiTheme="minorHAnsi" w:cstheme="minorHAnsi"/>
              </w:rPr>
            </w:pPr>
          </w:p>
          <w:p>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Theme="minorHAnsi" w:hAnsiTheme="minorHAnsi" w:cstheme="minorHAnsi"/>
                <w:b/>
              </w:rPr>
              <w:t xml:space="preserve">‘live life in all its fullness’. </w:t>
            </w:r>
            <w:r>
              <w:rPr>
                <w:rFonts w:asciiTheme="minorHAnsi" w:hAnsiTheme="minorHAnsi" w:cstheme="minorHAnsi"/>
              </w:rPr>
              <w:t xml:space="preserve">(John 10:10) </w:t>
            </w:r>
          </w:p>
          <w:p>
            <w:pPr>
              <w:spacing w:after="0" w:line="240" w:lineRule="auto"/>
              <w:rPr>
                <w:rFonts w:asciiTheme="minorHAnsi" w:hAnsiTheme="minorHAnsi" w:cstheme="minorHAnsi"/>
              </w:rPr>
            </w:pPr>
          </w:p>
          <w:p>
            <w:pPr>
              <w:numPr>
                <w:ilvl w:val="0"/>
                <w:numId w:val="1"/>
              </w:numPr>
              <w:tabs>
                <w:tab w:val="clear" w:pos="927"/>
                <w:tab w:val="num" w:pos="720"/>
              </w:tabs>
              <w:spacing w:after="160" w:line="259" w:lineRule="auto"/>
              <w:ind w:left="720"/>
              <w:rPr>
                <w:rFonts w:asciiTheme="minorHAnsi" w:hAnsiTheme="minorHAnsi" w:cstheme="minorHAnsi"/>
                <w:lang w:val="en-GB"/>
              </w:rPr>
            </w:pPr>
            <w:r>
              <w:rPr>
                <w:rFonts w:asciiTheme="minorHAnsi" w:hAnsiTheme="minorHAnsi" w:cstheme="minorHAnsi"/>
                <w:lang w:val="en-GB"/>
              </w:rPr>
              <w:t xml:space="preserve">We are a church school, which believes in the importance of </w:t>
            </w:r>
            <w:r>
              <w:rPr>
                <w:rFonts w:asciiTheme="minorHAnsi" w:hAnsiTheme="minorHAnsi" w:cstheme="minorHAnsi"/>
                <w:b/>
                <w:lang w:val="en-GB"/>
              </w:rPr>
              <w:t>community</w:t>
            </w:r>
            <w:r>
              <w:rPr>
                <w:rFonts w:asciiTheme="minorHAnsi" w:hAnsiTheme="minorHAnsi" w:cstheme="minorHAnsi"/>
                <w:lang w:val="en-GB"/>
              </w:rPr>
              <w:t xml:space="preserve">, where people from all races, religions and cultures act in </w:t>
            </w:r>
            <w:r>
              <w:rPr>
                <w:rFonts w:asciiTheme="minorHAnsi" w:hAnsiTheme="minorHAnsi" w:cstheme="minorHAnsi"/>
                <w:b/>
                <w:lang w:val="en-GB"/>
              </w:rPr>
              <w:t>peace</w:t>
            </w:r>
            <w:r>
              <w:rPr>
                <w:rFonts w:asciiTheme="minorHAnsi" w:hAnsiTheme="minorHAnsi" w:cstheme="minorHAnsi"/>
                <w:lang w:val="en-GB"/>
              </w:rPr>
              <w:t xml:space="preserve"> together.</w:t>
            </w:r>
          </w:p>
          <w:p>
            <w:pPr>
              <w:numPr>
                <w:ilvl w:val="0"/>
                <w:numId w:val="1"/>
              </w:numPr>
              <w:tabs>
                <w:tab w:val="clear" w:pos="927"/>
                <w:tab w:val="num" w:pos="720"/>
              </w:tabs>
              <w:spacing w:after="160" w:line="259" w:lineRule="auto"/>
              <w:ind w:left="720"/>
              <w:rPr>
                <w:rFonts w:asciiTheme="minorHAnsi" w:hAnsiTheme="minorHAnsi" w:cstheme="minorHAnsi"/>
                <w:lang w:val="en-GB"/>
              </w:rPr>
            </w:pPr>
            <w:r>
              <w:rPr>
                <w:rFonts w:asciiTheme="minorHAnsi" w:hAnsiTheme="minorHAnsi" w:cstheme="minorHAnsi"/>
                <w:lang w:val="en-GB"/>
              </w:rPr>
              <w:t>Our pupils, staff and families work together as a team, with</w:t>
            </w:r>
            <w:r>
              <w:rPr>
                <w:rFonts w:asciiTheme="minorHAnsi" w:hAnsiTheme="minorHAnsi" w:cstheme="minorHAnsi"/>
                <w:b/>
                <w:lang w:val="en-GB"/>
              </w:rPr>
              <w:t xml:space="preserve"> wisdom </w:t>
            </w:r>
            <w:r>
              <w:rPr>
                <w:rFonts w:asciiTheme="minorHAnsi" w:hAnsiTheme="minorHAnsi" w:cstheme="minorHAnsi"/>
                <w:lang w:val="en-GB"/>
              </w:rPr>
              <w:t xml:space="preserve">supporting each other through our learning. We have </w:t>
            </w:r>
            <w:r>
              <w:rPr>
                <w:rFonts w:asciiTheme="minorHAnsi" w:hAnsiTheme="minorHAnsi" w:cstheme="minorHAnsi"/>
                <w:b/>
                <w:lang w:val="en-GB"/>
              </w:rPr>
              <w:t xml:space="preserve">hope </w:t>
            </w:r>
            <w:r>
              <w:rPr>
                <w:rFonts w:asciiTheme="minorHAnsi" w:hAnsiTheme="minorHAnsi" w:cstheme="minorHAnsi"/>
                <w:lang w:val="en-GB"/>
              </w:rPr>
              <w:t>in our challenges and in our successes.</w:t>
            </w:r>
          </w:p>
          <w:p>
            <w:pPr>
              <w:numPr>
                <w:ilvl w:val="0"/>
                <w:numId w:val="1"/>
              </w:numPr>
              <w:tabs>
                <w:tab w:val="clear" w:pos="927"/>
                <w:tab w:val="num" w:pos="720"/>
              </w:tabs>
              <w:spacing w:after="160" w:line="259" w:lineRule="auto"/>
              <w:ind w:left="720"/>
              <w:rPr>
                <w:rFonts w:asciiTheme="minorHAnsi" w:hAnsiTheme="minorHAnsi" w:cstheme="minorHAnsi"/>
                <w:lang w:val="en-GB"/>
              </w:rPr>
            </w:pPr>
            <w:r>
              <w:rPr>
                <w:rFonts w:asciiTheme="minorHAnsi" w:hAnsiTheme="minorHAnsi" w:cstheme="minorHAnsi"/>
                <w:lang w:val="en-GB"/>
              </w:rPr>
              <w:t>We recognise</w:t>
            </w:r>
            <w:r>
              <w:rPr>
                <w:rFonts w:asciiTheme="minorHAnsi" w:hAnsiTheme="minorHAnsi" w:cstheme="minorHAnsi"/>
                <w:b/>
                <w:lang w:val="en-GB"/>
              </w:rPr>
              <w:t xml:space="preserve"> </w:t>
            </w:r>
            <w:r>
              <w:rPr>
                <w:rFonts w:asciiTheme="minorHAnsi" w:hAnsiTheme="minorHAnsi" w:cstheme="minorHAnsi"/>
                <w:lang w:val="en-GB"/>
              </w:rPr>
              <w:t xml:space="preserve">the </w:t>
            </w:r>
            <w:r>
              <w:rPr>
                <w:rFonts w:asciiTheme="minorHAnsi" w:hAnsiTheme="minorHAnsi" w:cstheme="minorHAnsi"/>
                <w:b/>
                <w:lang w:val="en-GB"/>
              </w:rPr>
              <w:t>dignity</w:t>
            </w:r>
            <w:r>
              <w:rPr>
                <w:rFonts w:asciiTheme="minorHAnsi" w:hAnsiTheme="minorHAnsi" w:cstheme="minorHAnsi"/>
                <w:lang w:val="en-GB"/>
              </w:rPr>
              <w:t xml:space="preserve"> and ultimate worth of each person, created in the image of God, further shaped by the person, teaching and example of Jesus. We look to the future with </w:t>
            </w:r>
            <w:r>
              <w:rPr>
                <w:rFonts w:asciiTheme="minorHAnsi" w:hAnsiTheme="minorHAnsi" w:cstheme="minorHAnsi"/>
                <w:b/>
                <w:lang w:val="en-GB"/>
              </w:rPr>
              <w:t>joy.</w:t>
            </w:r>
          </w:p>
        </w:tc>
      </w:tr>
      <w:tr>
        <w:tc>
          <w:tcPr>
            <w:tcW w:w="9016" w:type="dxa"/>
            <w:shd w:val="clear" w:color="auto" w:fill="FFC000"/>
          </w:tcPr>
          <w:p>
            <w:pPr>
              <w:rPr>
                <w:rFonts w:asciiTheme="minorHAnsi" w:hAnsiTheme="minorHAnsi" w:cstheme="minorHAnsi"/>
                <w:b/>
              </w:rPr>
            </w:pPr>
            <w:r>
              <w:rPr>
                <w:rFonts w:asciiTheme="minorHAnsi" w:hAnsiTheme="minorHAnsi" w:cstheme="minorHAnsi"/>
                <w:b/>
              </w:rPr>
              <w:t xml:space="preserve">Staffing </w:t>
            </w:r>
          </w:p>
        </w:tc>
      </w:tr>
      <w:tr>
        <w:tc>
          <w:tcPr>
            <w:tcW w:w="9016" w:type="dxa"/>
          </w:tcPr>
          <w:p>
            <w:pPr>
              <w:spacing w:after="0" w:line="240" w:lineRule="auto"/>
              <w:rPr>
                <w:rFonts w:asciiTheme="minorHAnsi" w:hAnsiTheme="minorHAnsi" w:cstheme="minorHAnsi"/>
              </w:rPr>
            </w:pPr>
            <w:r>
              <w:rPr>
                <w:rFonts w:asciiTheme="minorHAnsi" w:hAnsiTheme="minorHAnsi" w:cstheme="minorHAnsi"/>
              </w:rPr>
              <w:t xml:space="preserve">The SLT is formed of myself, </w:t>
            </w:r>
            <w:proofErr w:type="spellStart"/>
            <w:r>
              <w:rPr>
                <w:rFonts w:asciiTheme="minorHAnsi" w:hAnsiTheme="minorHAnsi" w:cstheme="minorHAnsi"/>
              </w:rPr>
              <w:t>Mrs</w:t>
            </w:r>
            <w:proofErr w:type="spellEnd"/>
            <w:r>
              <w:rPr>
                <w:rFonts w:asciiTheme="minorHAnsi" w:hAnsiTheme="minorHAnsi" w:cstheme="minorHAnsi"/>
              </w:rPr>
              <w:t xml:space="preserve"> Anna Benjamin (maternity) , </w:t>
            </w:r>
            <w:proofErr w:type="spellStart"/>
            <w:r>
              <w:rPr>
                <w:rFonts w:asciiTheme="minorHAnsi" w:hAnsiTheme="minorHAnsi" w:cstheme="minorHAnsi"/>
              </w:rPr>
              <w:t>Mrs</w:t>
            </w:r>
            <w:proofErr w:type="spellEnd"/>
            <w:r>
              <w:rPr>
                <w:rFonts w:asciiTheme="minorHAnsi" w:hAnsiTheme="minorHAnsi" w:cstheme="minorHAnsi"/>
              </w:rPr>
              <w:t xml:space="preserve"> Katharine Brooks and </w:t>
            </w:r>
            <w:proofErr w:type="spellStart"/>
            <w:r>
              <w:rPr>
                <w:rFonts w:asciiTheme="minorHAnsi" w:hAnsiTheme="minorHAnsi" w:cstheme="minorHAnsi"/>
              </w:rPr>
              <w:t>Mr</w:t>
            </w:r>
            <w:proofErr w:type="spellEnd"/>
            <w:r>
              <w:rPr>
                <w:rFonts w:asciiTheme="minorHAnsi" w:hAnsiTheme="minorHAnsi" w:cstheme="minorHAnsi"/>
              </w:rPr>
              <w:t xml:space="preserve"> Walker-</w:t>
            </w:r>
            <w:proofErr w:type="spellStart"/>
            <w:r>
              <w:rPr>
                <w:rFonts w:asciiTheme="minorHAnsi" w:hAnsiTheme="minorHAnsi" w:cstheme="minorHAnsi"/>
              </w:rPr>
              <w:t>Cheetham</w:t>
            </w:r>
            <w:proofErr w:type="spellEnd"/>
          </w:p>
          <w:p>
            <w:pPr>
              <w:spacing w:after="0" w:line="240" w:lineRule="auto"/>
              <w:rPr>
                <w:rFonts w:asciiTheme="minorHAnsi" w:hAnsiTheme="minorHAnsi" w:cstheme="minorHAnsi"/>
              </w:rPr>
            </w:pPr>
          </w:p>
          <w:p>
            <w:pPr>
              <w:spacing w:after="0" w:line="240" w:lineRule="auto"/>
              <w:rPr>
                <w:rFonts w:asciiTheme="minorHAnsi" w:hAnsiTheme="minorHAnsi" w:cstheme="minorHAnsi"/>
              </w:rPr>
            </w:pPr>
            <w:r>
              <w:rPr>
                <w:rFonts w:asciiTheme="minorHAnsi" w:hAnsiTheme="minorHAnsi" w:cstheme="minorHAnsi"/>
              </w:rPr>
              <w:t xml:space="preserve">One TA has resigned (TA) – new role in Nursery setting  </w:t>
            </w:r>
          </w:p>
          <w:p>
            <w:pPr>
              <w:spacing w:after="0" w:line="240" w:lineRule="auto"/>
              <w:rPr>
                <w:rFonts w:asciiTheme="minorHAnsi" w:hAnsiTheme="minorHAnsi" w:cstheme="minorHAnsi"/>
              </w:rPr>
            </w:pPr>
          </w:p>
          <w:p>
            <w:pPr>
              <w:spacing w:after="0" w:line="240" w:lineRule="auto"/>
              <w:rPr>
                <w:rFonts w:asciiTheme="minorHAnsi" w:hAnsiTheme="minorHAnsi" w:cstheme="minorHAnsi"/>
              </w:rPr>
            </w:pPr>
            <w:r>
              <w:rPr>
                <w:rFonts w:asciiTheme="minorHAnsi" w:hAnsiTheme="minorHAnsi" w:cstheme="minorHAnsi"/>
              </w:rPr>
              <w:t>There are 9 teachers</w:t>
            </w:r>
          </w:p>
          <w:p>
            <w:pPr>
              <w:spacing w:after="0" w:line="240" w:lineRule="auto"/>
              <w:rPr>
                <w:rFonts w:asciiTheme="minorHAnsi" w:hAnsiTheme="minorHAnsi" w:cstheme="minorHAnsi"/>
              </w:rPr>
            </w:pPr>
            <w:r>
              <w:rPr>
                <w:rFonts w:asciiTheme="minorHAnsi" w:hAnsiTheme="minorHAnsi" w:cstheme="minorHAnsi"/>
              </w:rPr>
              <w:t xml:space="preserve"> (x1 is on X2 days, (x1 X3 days) partnered with ADHT who teaches X2 days</w:t>
            </w:r>
          </w:p>
          <w:p>
            <w:pPr>
              <w:spacing w:after="0" w:line="240" w:lineRule="auto"/>
              <w:rPr>
                <w:rFonts w:asciiTheme="minorHAnsi" w:hAnsiTheme="minorHAnsi" w:cstheme="minorHAnsi"/>
              </w:rPr>
            </w:pPr>
          </w:p>
          <w:p>
            <w:pPr>
              <w:spacing w:after="0" w:line="240" w:lineRule="auto"/>
              <w:rPr>
                <w:rFonts w:asciiTheme="minorHAnsi" w:hAnsiTheme="minorHAnsi" w:cstheme="minorHAnsi"/>
              </w:rPr>
            </w:pPr>
            <w:r>
              <w:rPr>
                <w:rFonts w:asciiTheme="minorHAnsi" w:hAnsiTheme="minorHAnsi" w:cstheme="minorHAnsi"/>
              </w:rPr>
              <w:t xml:space="preserve">There are 8 TAs </w:t>
            </w:r>
          </w:p>
          <w:p>
            <w:pPr>
              <w:spacing w:after="0" w:line="240" w:lineRule="auto"/>
              <w:rPr>
                <w:rFonts w:asciiTheme="minorHAnsi" w:hAnsiTheme="minorHAnsi" w:cstheme="minorHAnsi"/>
              </w:rPr>
            </w:pPr>
            <w:r>
              <w:rPr>
                <w:rFonts w:asciiTheme="minorHAnsi" w:hAnsiTheme="minorHAnsi" w:cstheme="minorHAnsi"/>
              </w:rPr>
              <w:t xml:space="preserve">Year R -1FT , Year 1 - 1 PT (3 days) 1 PT (2 day), Year 2 –1FT and X1 25 hours EHCP 1:1 </w:t>
            </w:r>
          </w:p>
          <w:p>
            <w:pPr>
              <w:spacing w:after="0" w:line="240" w:lineRule="auto"/>
              <w:rPr>
                <w:rFonts w:asciiTheme="minorHAnsi" w:hAnsiTheme="minorHAnsi" w:cstheme="minorHAnsi"/>
              </w:rPr>
            </w:pPr>
            <w:r>
              <w:rPr>
                <w:rFonts w:asciiTheme="minorHAnsi" w:hAnsiTheme="minorHAnsi" w:cstheme="minorHAnsi"/>
              </w:rPr>
              <w:t>Year 3 – 1 morning only newly appointed TA, Year 4 – 1 morning only newly appointed TA,</w:t>
            </w:r>
          </w:p>
          <w:p>
            <w:pPr>
              <w:spacing w:after="0" w:line="240" w:lineRule="auto"/>
              <w:rPr>
                <w:rFonts w:asciiTheme="minorHAnsi" w:hAnsiTheme="minorHAnsi" w:cstheme="minorHAnsi"/>
              </w:rPr>
            </w:pPr>
            <w:r>
              <w:rPr>
                <w:rFonts w:asciiTheme="minorHAnsi" w:hAnsiTheme="minorHAnsi" w:cstheme="minorHAnsi"/>
              </w:rPr>
              <w:t>Year 5 – 1 FT (</w:t>
            </w:r>
            <w:proofErr w:type="spellStart"/>
            <w:r>
              <w:rPr>
                <w:rFonts w:asciiTheme="minorHAnsi" w:hAnsiTheme="minorHAnsi" w:cstheme="minorHAnsi"/>
              </w:rPr>
              <w:t>pms</w:t>
            </w:r>
            <w:proofErr w:type="spellEnd"/>
            <w:r>
              <w:rPr>
                <w:rFonts w:asciiTheme="minorHAnsi" w:hAnsiTheme="minorHAnsi" w:cstheme="minorHAnsi"/>
              </w:rPr>
              <w:t xml:space="preserve"> shared with Year 6) , Year 6 – 1 PT X5 mornings </w:t>
            </w:r>
          </w:p>
          <w:p>
            <w:pPr>
              <w:spacing w:after="0" w:line="240" w:lineRule="auto"/>
              <w:rPr>
                <w:rFonts w:asciiTheme="minorHAnsi" w:hAnsiTheme="minorHAnsi" w:cstheme="minorHAnsi"/>
                <w:strike/>
              </w:rPr>
            </w:pPr>
          </w:p>
        </w:tc>
      </w:tr>
      <w:tr>
        <w:tc>
          <w:tcPr>
            <w:tcW w:w="9016" w:type="dxa"/>
            <w:shd w:val="clear" w:color="auto" w:fill="FFC000"/>
          </w:tcPr>
          <w:p>
            <w:pPr>
              <w:rPr>
                <w:rFonts w:asciiTheme="minorHAnsi" w:eastAsia="Times New Roman" w:hAnsiTheme="minorHAnsi" w:cstheme="minorHAnsi"/>
                <w:b/>
                <w:color w:val="538135" w:themeColor="accent6" w:themeShade="BF"/>
                <w:highlight w:val="yellow"/>
                <w:lang w:val="en-GB" w:eastAsia="en-GB"/>
              </w:rPr>
            </w:pPr>
            <w:r>
              <w:rPr>
                <w:rFonts w:asciiTheme="minorHAnsi" w:eastAsia="Times New Roman" w:hAnsiTheme="minorHAnsi" w:cstheme="minorHAnsi"/>
                <w:b/>
                <w:lang w:val="en-GB" w:eastAsia="en-GB"/>
              </w:rPr>
              <w:t xml:space="preserve">Safeguarding </w:t>
            </w:r>
          </w:p>
        </w:tc>
      </w:tr>
      <w:tr>
        <w:tc>
          <w:tcPr>
            <w:tcW w:w="9016" w:type="dxa"/>
          </w:tcPr>
          <w:p>
            <w:pPr>
              <w:rPr>
                <w:rFonts w:asciiTheme="minorHAnsi" w:hAnsiTheme="minorHAnsi" w:cstheme="minorHAnsi"/>
              </w:rPr>
            </w:pPr>
            <w:r>
              <w:rPr>
                <w:rFonts w:asciiTheme="minorHAnsi" w:hAnsiTheme="minorHAnsi" w:cstheme="minorHAnsi"/>
              </w:rPr>
              <w:t>DWC attended DSL New to Role training</w:t>
            </w:r>
            <w:r>
              <w:rPr>
                <w:rFonts w:asciiTheme="minorHAnsi" w:hAnsiTheme="minorHAnsi" w:cstheme="minorHAnsi"/>
              </w:rPr>
              <w:br/>
              <w:t>Safeguarding update training has been completed by IW</w:t>
            </w:r>
            <w:r>
              <w:rPr>
                <w:rFonts w:asciiTheme="minorHAnsi" w:hAnsiTheme="minorHAnsi" w:cstheme="minorHAnsi"/>
              </w:rPr>
              <w:br/>
              <w:t>Safer Recruitment Training completed – 1/10/22</w:t>
            </w:r>
          </w:p>
          <w:p>
            <w:pPr>
              <w:rPr>
                <w:rFonts w:asciiTheme="minorHAnsi" w:hAnsiTheme="minorHAnsi" w:cstheme="minorHAnsi"/>
              </w:rPr>
            </w:pPr>
            <w:r>
              <w:rPr>
                <w:rFonts w:asciiTheme="minorHAnsi" w:hAnsiTheme="minorHAnsi" w:cstheme="minorHAnsi"/>
              </w:rPr>
              <w:lastRenderedPageBreak/>
              <w:t>Induction Safeguarding training has been completed by new staff HL/CC/SR/MN</w:t>
            </w:r>
          </w:p>
          <w:p>
            <w:pPr>
              <w:rPr>
                <w:rFonts w:asciiTheme="minorHAnsi" w:hAnsiTheme="minorHAnsi" w:cstheme="minorHAnsi"/>
              </w:rPr>
            </w:pPr>
            <w:r>
              <w:rPr>
                <w:rFonts w:asciiTheme="minorHAnsi" w:hAnsiTheme="minorHAnsi" w:cstheme="minorHAnsi"/>
              </w:rPr>
              <w:t xml:space="preserve"> Safeguarding policy and related handbook have been reviewed by Senior Leaders, shared and commented on by all staff and shared with volunteers. </w:t>
            </w:r>
          </w:p>
          <w:p>
            <w:pPr>
              <w:rPr>
                <w:rFonts w:asciiTheme="minorHAnsi" w:hAnsiTheme="minorHAnsi" w:cstheme="minorHAnsi"/>
              </w:rPr>
            </w:pPr>
            <w:r>
              <w:rPr>
                <w:rFonts w:asciiTheme="minorHAnsi" w:hAnsiTheme="minorHAnsi" w:cstheme="minorHAnsi"/>
              </w:rPr>
              <w:t xml:space="preserve">Volunteers’ policy and online policies cross referenced against this policy. A summary of changes for </w:t>
            </w:r>
            <w:proofErr w:type="spellStart"/>
            <w:r>
              <w:rPr>
                <w:rFonts w:asciiTheme="minorHAnsi" w:hAnsiTheme="minorHAnsi" w:cstheme="minorHAnsi"/>
              </w:rPr>
              <w:t>KCSiE</w:t>
            </w:r>
            <w:proofErr w:type="spellEnd"/>
            <w:r>
              <w:rPr>
                <w:rFonts w:asciiTheme="minorHAnsi" w:hAnsiTheme="minorHAnsi" w:cstheme="minorHAnsi"/>
              </w:rPr>
              <w:t xml:space="preserve"> 22 is attached to this report. </w:t>
            </w:r>
          </w:p>
        </w:tc>
      </w:tr>
      <w:tr>
        <w:tc>
          <w:tcPr>
            <w:tcW w:w="9016" w:type="dxa"/>
            <w:shd w:val="clear" w:color="auto" w:fill="FFC000"/>
          </w:tcPr>
          <w:p>
            <w:pPr>
              <w:autoSpaceDE w:val="0"/>
              <w:autoSpaceDN w:val="0"/>
              <w:adjustRightInd w:val="0"/>
              <w:spacing w:after="0" w:line="240" w:lineRule="auto"/>
              <w:rPr>
                <w:rFonts w:asciiTheme="minorHAnsi" w:eastAsiaTheme="minorHAnsi" w:hAnsiTheme="minorHAnsi" w:cstheme="minorHAnsi"/>
                <w:b/>
                <w:color w:val="000000"/>
                <w:lang w:val="en-GB"/>
              </w:rPr>
            </w:pPr>
            <w:r>
              <w:rPr>
                <w:rFonts w:asciiTheme="minorHAnsi" w:eastAsiaTheme="minorHAnsi" w:hAnsiTheme="minorHAnsi" w:cstheme="minorHAnsi"/>
                <w:b/>
                <w:color w:val="000000"/>
                <w:lang w:val="en-GB"/>
              </w:rPr>
              <w:lastRenderedPageBreak/>
              <w:t xml:space="preserve">Ofsted </w:t>
            </w:r>
          </w:p>
          <w:p>
            <w:pPr>
              <w:autoSpaceDE w:val="0"/>
              <w:autoSpaceDN w:val="0"/>
              <w:adjustRightInd w:val="0"/>
              <w:spacing w:after="0" w:line="240" w:lineRule="auto"/>
              <w:rPr>
                <w:rFonts w:asciiTheme="minorHAnsi" w:eastAsiaTheme="minorHAnsi" w:hAnsiTheme="minorHAnsi" w:cstheme="minorHAnsi"/>
                <w:b/>
                <w:color w:val="000000"/>
                <w:lang w:val="en-GB"/>
              </w:rPr>
            </w:pPr>
          </w:p>
        </w:tc>
      </w:tr>
      <w:tr>
        <w:tc>
          <w:tcPr>
            <w:tcW w:w="9016" w:type="dxa"/>
            <w:shd w:val="clear" w:color="auto" w:fill="auto"/>
          </w:tcPr>
          <w:p>
            <w:pPr>
              <w:spacing w:after="0" w:line="240" w:lineRule="auto"/>
              <w:rPr>
                <w:rFonts w:asciiTheme="minorHAnsi" w:hAnsiTheme="minorHAnsi" w:cstheme="minorHAnsi"/>
                <w:b/>
                <w:lang w:eastAsia="en-GB"/>
              </w:rPr>
            </w:pPr>
            <w:proofErr w:type="spellStart"/>
            <w:r>
              <w:rPr>
                <w:rFonts w:asciiTheme="minorHAnsi" w:hAnsiTheme="minorHAnsi" w:cstheme="minorHAnsi"/>
                <w:b/>
                <w:lang w:eastAsia="en-GB"/>
              </w:rPr>
              <w:t>OfSTED</w:t>
            </w:r>
            <w:proofErr w:type="spellEnd"/>
            <w:r>
              <w:rPr>
                <w:rFonts w:asciiTheme="minorHAnsi" w:hAnsiTheme="minorHAnsi" w:cstheme="minorHAnsi"/>
                <w:b/>
                <w:lang w:eastAsia="en-GB"/>
              </w:rPr>
              <w:t xml:space="preserve"> </w:t>
            </w:r>
          </w:p>
          <w:p>
            <w:pPr>
              <w:spacing w:after="0" w:line="240" w:lineRule="auto"/>
              <w:rPr>
                <w:rFonts w:asciiTheme="minorHAnsi" w:hAnsiTheme="minorHAnsi" w:cstheme="minorHAnsi"/>
                <w:lang w:eastAsia="en-GB"/>
              </w:rPr>
            </w:pPr>
            <w:r>
              <w:rPr>
                <w:rFonts w:asciiTheme="minorHAnsi" w:hAnsiTheme="minorHAnsi" w:cstheme="minorHAnsi"/>
                <w:lang w:eastAsia="en-GB"/>
              </w:rPr>
              <w:t>This guidance came into force on 1 September 2022.</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b/>
                <w:lang w:eastAsia="en-GB"/>
              </w:rPr>
            </w:pPr>
            <w:r>
              <w:rPr>
                <w:rFonts w:asciiTheme="minorHAnsi" w:hAnsiTheme="minorHAnsi" w:cstheme="minorHAnsi"/>
                <w:b/>
                <w:lang w:eastAsia="en-GB"/>
              </w:rPr>
              <w:t xml:space="preserve">Handbook </w:t>
            </w:r>
          </w:p>
          <w:p>
            <w:pPr>
              <w:spacing w:after="0" w:line="240" w:lineRule="auto"/>
              <w:rPr>
                <w:rFonts w:asciiTheme="minorHAnsi" w:hAnsiTheme="minorHAnsi" w:cstheme="minorHAnsi"/>
                <w:lang w:eastAsia="en-GB"/>
              </w:rPr>
            </w:pPr>
            <w:hyperlink r:id="rId8" w:history="1">
              <w:r>
                <w:rPr>
                  <w:rStyle w:val="Hyperlink"/>
                  <w:rFonts w:asciiTheme="minorHAnsi" w:hAnsiTheme="minorHAnsi" w:cstheme="minorHAnsi"/>
                  <w:lang w:eastAsia="en-GB"/>
                </w:rPr>
                <w:t>https://www.gov.uk/government/publications/education-inspection-framework/education-inspection-framework</w:t>
              </w:r>
            </w:hyperlink>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b/>
                <w:lang w:eastAsia="en-GB"/>
              </w:rPr>
            </w:pPr>
            <w:r>
              <w:rPr>
                <w:rFonts w:asciiTheme="minorHAnsi" w:hAnsiTheme="minorHAnsi" w:cstheme="minorHAnsi"/>
                <w:b/>
                <w:lang w:eastAsia="en-GB"/>
              </w:rPr>
              <w:t xml:space="preserve">Summary of Changes </w:t>
            </w:r>
          </w:p>
          <w:p>
            <w:pPr>
              <w:spacing w:after="0" w:line="240" w:lineRule="auto"/>
              <w:rPr>
                <w:rFonts w:asciiTheme="minorHAnsi" w:hAnsiTheme="minorHAnsi" w:cstheme="minorHAnsi"/>
                <w:lang w:eastAsia="en-GB"/>
              </w:rPr>
            </w:pPr>
            <w:hyperlink r:id="rId9" w:history="1">
              <w:r>
                <w:rPr>
                  <w:rStyle w:val="Hyperlink"/>
                  <w:rFonts w:asciiTheme="minorHAnsi" w:hAnsiTheme="minorHAnsi" w:cstheme="minorHAnsi"/>
                  <w:lang w:eastAsia="en-GB"/>
                </w:rPr>
                <w:t>https://www.gov.uk/government/publications/education-inspection-framework/summary-of-changes</w:t>
              </w:r>
            </w:hyperlink>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r>
              <w:rPr>
                <w:rFonts w:asciiTheme="minorHAnsi" w:hAnsiTheme="minorHAnsi" w:cstheme="minorHAnsi"/>
                <w:lang w:eastAsia="en-GB"/>
              </w:rPr>
              <w:t xml:space="preserve">The new </w:t>
            </w:r>
            <w:proofErr w:type="spellStart"/>
            <w:r>
              <w:rPr>
                <w:rFonts w:asciiTheme="minorHAnsi" w:hAnsiTheme="minorHAnsi" w:cstheme="minorHAnsi"/>
                <w:lang w:eastAsia="en-GB"/>
              </w:rPr>
              <w:t>Ofsted</w:t>
            </w:r>
            <w:proofErr w:type="spellEnd"/>
            <w:r>
              <w:rPr>
                <w:rFonts w:asciiTheme="minorHAnsi" w:hAnsiTheme="minorHAnsi" w:cstheme="minorHAnsi"/>
                <w:lang w:eastAsia="en-GB"/>
              </w:rPr>
              <w:t xml:space="preserve"> handbook describes the main activities carried out during graded, ungraded and urgent inspections of maintained schools and academies in England under sections 5 and 8 of the Education Act 2005, respectively. It sets out the grade descriptors that inspectors use to make their judgements and on which they report. It applies to school inspections under the education inspection framework (EIF).</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r>
              <w:rPr>
                <w:rFonts w:asciiTheme="minorHAnsi" w:hAnsiTheme="minorHAnsi" w:cstheme="minorHAnsi"/>
                <w:lang w:eastAsia="en-GB"/>
              </w:rPr>
              <w:t xml:space="preserve">Graded inspections are carried out under section 5 of the Education Act 2005, and were previously known as section 5 inspections. In graded inspections, we use </w:t>
            </w:r>
            <w:proofErr w:type="spellStart"/>
            <w:r>
              <w:rPr>
                <w:rFonts w:asciiTheme="minorHAnsi" w:hAnsiTheme="minorHAnsi" w:cstheme="minorHAnsi"/>
                <w:lang w:eastAsia="en-GB"/>
              </w:rPr>
              <w:t>Ofsted’s</w:t>
            </w:r>
            <w:proofErr w:type="spellEnd"/>
            <w:r>
              <w:rPr>
                <w:rFonts w:asciiTheme="minorHAnsi" w:hAnsiTheme="minorHAnsi" w:cstheme="minorHAnsi"/>
                <w:lang w:eastAsia="en-GB"/>
              </w:rPr>
              <w:t xml:space="preserve"> full framework and grade the school for its overall effectiveness and against our key judgement (and any relevant provision judgement) grade descriptors.</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r>
              <w:rPr>
                <w:rFonts w:asciiTheme="minorHAnsi" w:hAnsiTheme="minorHAnsi" w:cstheme="minorHAnsi"/>
                <w:lang w:eastAsia="en-GB"/>
              </w:rPr>
              <w:t>Ungraded inspections are carried out under section 8 of the Education Act 2005, and were previously known as section 8 inspections of good and outstanding schools. An ungraded inspection differs from a graded inspection, because it does not result in individual graded judgements; instead, it focuses on determining whether the school remains the same grade as it was at its previous graded inspection.</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r>
              <w:rPr>
                <w:rFonts w:asciiTheme="minorHAnsi" w:hAnsiTheme="minorHAnsi" w:cstheme="minorHAnsi"/>
                <w:lang w:eastAsia="en-GB"/>
              </w:rPr>
              <w:t xml:space="preserve">Urgent inspections are also carried out under section 8 of the Education Act 2005, and were previously known as inspections with no fixed designation and unannounced </w:t>
            </w:r>
            <w:proofErr w:type="spellStart"/>
            <w:r>
              <w:rPr>
                <w:rFonts w:asciiTheme="minorHAnsi" w:hAnsiTheme="minorHAnsi" w:cstheme="minorHAnsi"/>
                <w:lang w:eastAsia="en-GB"/>
              </w:rPr>
              <w:t>behaviour</w:t>
            </w:r>
            <w:proofErr w:type="spellEnd"/>
            <w:r>
              <w:rPr>
                <w:rFonts w:asciiTheme="minorHAnsi" w:hAnsiTheme="minorHAnsi" w:cstheme="minorHAnsi"/>
                <w:lang w:eastAsia="en-GB"/>
              </w:rPr>
              <w:t xml:space="preserve"> inspections.</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proofErr w:type="spellStart"/>
            <w:r>
              <w:rPr>
                <w:rFonts w:asciiTheme="minorHAnsi" w:hAnsiTheme="minorHAnsi" w:cstheme="minorHAnsi"/>
                <w:lang w:eastAsia="en-GB"/>
              </w:rPr>
              <w:t>Ofsted</w:t>
            </w:r>
            <w:proofErr w:type="spellEnd"/>
            <w:r>
              <w:rPr>
                <w:rFonts w:asciiTheme="minorHAnsi" w:hAnsiTheme="minorHAnsi" w:cstheme="minorHAnsi"/>
                <w:lang w:eastAsia="en-GB"/>
              </w:rPr>
              <w:t xml:space="preserve"> may also carry out inspections under section 8 of the Education Act 2005 in order to comply with a request from the Secretary of State under section 118(2) of the Education and Inspections Act 2006 for information or advice about maintained schools and academies. We may also carry out research during inspections.</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r>
              <w:rPr>
                <w:rFonts w:asciiTheme="minorHAnsi" w:hAnsiTheme="minorHAnsi" w:cstheme="minorHAnsi"/>
                <w:lang w:eastAsia="en-GB"/>
              </w:rPr>
              <w:t xml:space="preserve">This handbook is primarily a guide for inspectors on how to carry out school inspections. However, we make it available to schools and other </w:t>
            </w:r>
            <w:proofErr w:type="spellStart"/>
            <w:r>
              <w:rPr>
                <w:rFonts w:asciiTheme="minorHAnsi" w:hAnsiTheme="minorHAnsi" w:cstheme="minorHAnsi"/>
                <w:lang w:eastAsia="en-GB"/>
              </w:rPr>
              <w:t>organisations</w:t>
            </w:r>
            <w:proofErr w:type="spellEnd"/>
            <w:r>
              <w:rPr>
                <w:rFonts w:asciiTheme="minorHAnsi" w:hAnsiTheme="minorHAnsi" w:cstheme="minorHAnsi"/>
                <w:lang w:eastAsia="en-GB"/>
              </w:rPr>
              <w:t xml:space="preserve"> to ensure that they are informed about the processes and procedures of inspection. It seeks to balance the need for consistency in inspections with the flexibility required to respond to the individual circumstances of each school. This handbook should be regarded not as a set of inflexible rules, but as an account of the procedures of inspection. Inspectors will use their professional judgement when they apply this guidance in this handbook.</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r>
              <w:rPr>
                <w:rFonts w:asciiTheme="minorHAnsi" w:hAnsiTheme="minorHAnsi" w:cstheme="minorHAnsi"/>
                <w:lang w:eastAsia="en-GB"/>
              </w:rPr>
              <w:t>The handbook has 4 parts:</w:t>
            </w:r>
          </w:p>
          <w:p>
            <w:pPr>
              <w:spacing w:after="0" w:line="240" w:lineRule="auto"/>
              <w:rPr>
                <w:rFonts w:asciiTheme="minorHAnsi" w:hAnsiTheme="minorHAnsi" w:cstheme="minorHAnsi"/>
                <w:lang w:eastAsia="en-GB"/>
              </w:rPr>
            </w:pPr>
          </w:p>
          <w:p>
            <w:pPr>
              <w:spacing w:after="0" w:line="240" w:lineRule="auto"/>
              <w:rPr>
                <w:rFonts w:asciiTheme="minorHAnsi" w:hAnsiTheme="minorHAnsi" w:cstheme="minorHAnsi"/>
                <w:lang w:eastAsia="en-GB"/>
              </w:rPr>
            </w:pPr>
            <w:r>
              <w:rPr>
                <w:rFonts w:asciiTheme="minorHAnsi" w:hAnsiTheme="minorHAnsi" w:cstheme="minorHAnsi"/>
                <w:lang w:eastAsia="en-GB"/>
              </w:rPr>
              <w:t>•</w:t>
            </w:r>
            <w:r>
              <w:rPr>
                <w:rFonts w:asciiTheme="minorHAnsi" w:hAnsiTheme="minorHAnsi" w:cstheme="minorHAnsi"/>
                <w:lang w:eastAsia="en-GB"/>
              </w:rPr>
              <w:tab/>
              <w:t xml:space="preserve">Part 1. How schools will be inspected: this contains information about the processes         </w:t>
            </w:r>
          </w:p>
          <w:p>
            <w:pPr>
              <w:spacing w:after="0" w:line="240" w:lineRule="auto"/>
              <w:rPr>
                <w:rFonts w:asciiTheme="minorHAnsi" w:hAnsiTheme="minorHAnsi" w:cstheme="minorHAnsi"/>
                <w:lang w:eastAsia="en-GB"/>
              </w:rPr>
            </w:pPr>
            <w:r>
              <w:rPr>
                <w:rFonts w:asciiTheme="minorHAnsi" w:hAnsiTheme="minorHAnsi" w:cstheme="minorHAnsi"/>
                <w:lang w:eastAsia="en-GB"/>
              </w:rPr>
              <w:t>before, during and after the inspection</w:t>
            </w:r>
          </w:p>
          <w:p>
            <w:pPr>
              <w:spacing w:after="0" w:line="240" w:lineRule="auto"/>
              <w:rPr>
                <w:rFonts w:asciiTheme="minorHAnsi" w:hAnsiTheme="minorHAnsi" w:cstheme="minorHAnsi"/>
                <w:lang w:eastAsia="en-GB"/>
              </w:rPr>
            </w:pPr>
            <w:r>
              <w:rPr>
                <w:rFonts w:asciiTheme="minorHAnsi" w:hAnsiTheme="minorHAnsi" w:cstheme="minorHAnsi"/>
                <w:lang w:eastAsia="en-GB"/>
              </w:rPr>
              <w:t>•</w:t>
            </w:r>
            <w:r>
              <w:rPr>
                <w:rFonts w:asciiTheme="minorHAnsi" w:hAnsiTheme="minorHAnsi" w:cstheme="minorHAnsi"/>
                <w:lang w:eastAsia="en-GB"/>
              </w:rPr>
              <w:tab/>
              <w:t xml:space="preserve">Part 2. Explanation of </w:t>
            </w:r>
            <w:proofErr w:type="spellStart"/>
            <w:r>
              <w:rPr>
                <w:rFonts w:asciiTheme="minorHAnsi" w:hAnsiTheme="minorHAnsi" w:cstheme="minorHAnsi"/>
                <w:lang w:eastAsia="en-GB"/>
              </w:rPr>
              <w:t>Ofsted’s</w:t>
            </w:r>
            <w:proofErr w:type="spellEnd"/>
            <w:r>
              <w:rPr>
                <w:rFonts w:asciiTheme="minorHAnsi" w:hAnsiTheme="minorHAnsi" w:cstheme="minorHAnsi"/>
                <w:lang w:eastAsia="en-GB"/>
              </w:rPr>
              <w:t xml:space="preserve"> judgements: this sets out the kinds of evidence that inspectors gather and the activities they carry out to make their judgements</w:t>
            </w:r>
          </w:p>
          <w:p>
            <w:pPr>
              <w:spacing w:after="0" w:line="240" w:lineRule="auto"/>
              <w:rPr>
                <w:rFonts w:asciiTheme="minorHAnsi" w:hAnsiTheme="minorHAnsi" w:cstheme="minorHAnsi"/>
                <w:lang w:eastAsia="en-GB"/>
              </w:rPr>
            </w:pPr>
            <w:r>
              <w:rPr>
                <w:rFonts w:asciiTheme="minorHAnsi" w:hAnsiTheme="minorHAnsi" w:cstheme="minorHAnsi"/>
                <w:lang w:eastAsia="en-GB"/>
              </w:rPr>
              <w:t>•</w:t>
            </w:r>
            <w:r>
              <w:rPr>
                <w:rFonts w:asciiTheme="minorHAnsi" w:hAnsiTheme="minorHAnsi" w:cstheme="minorHAnsi"/>
                <w:lang w:eastAsia="en-GB"/>
              </w:rPr>
              <w:tab/>
              <w:t>Part 3. Grade descriptors: this contains the evaluation criteria that inspectors use to make the graded judgements about schools</w:t>
            </w:r>
          </w:p>
          <w:p>
            <w:pPr>
              <w:spacing w:after="0" w:line="240" w:lineRule="auto"/>
              <w:rPr>
                <w:rFonts w:asciiTheme="minorHAnsi" w:hAnsiTheme="minorHAnsi" w:cstheme="minorHAnsi"/>
                <w:lang w:eastAsia="en-GB"/>
              </w:rPr>
            </w:pPr>
            <w:r>
              <w:rPr>
                <w:rFonts w:asciiTheme="minorHAnsi" w:hAnsiTheme="minorHAnsi" w:cstheme="minorHAnsi"/>
                <w:lang w:eastAsia="en-GB"/>
              </w:rPr>
              <w:t>•</w:t>
            </w:r>
            <w:r>
              <w:rPr>
                <w:rFonts w:asciiTheme="minorHAnsi" w:hAnsiTheme="minorHAnsi" w:cstheme="minorHAnsi"/>
                <w:lang w:eastAsia="en-GB"/>
              </w:rPr>
              <w:tab/>
              <w:t>Part 4. Urgent inspections: this contains the procedures and evaluation criteria for these inspections. It stands alone and therefore may repeat some of the content of part 1</w:t>
            </w:r>
          </w:p>
          <w:p>
            <w:pPr>
              <w:rPr>
                <w:rFonts w:ascii="Times New Roman" w:eastAsia="Times New Roman" w:hAnsi="Times New Roman"/>
                <w:lang w:val="en-GB"/>
              </w:rPr>
            </w:pPr>
          </w:p>
          <w:p>
            <w:r>
              <w:t xml:space="preserve">The following </w:t>
            </w:r>
            <w:proofErr w:type="spellStart"/>
            <w:r>
              <w:t>Ofsted</w:t>
            </w:r>
            <w:proofErr w:type="spellEnd"/>
            <w:r>
              <w:t xml:space="preserve"> reports have been undertaken this term in partner SDBE (Diocese and MAT) schools. Reading recent and local reports throughout the year will inform Governors. They will also be shared with staff to identify themes, questions asked etc. Our own school's report is also included in the links for any Governors who would like to reference the report again. The next inspection will be held over a 2-day period. It would be ideal if key Governors were able to make themselves available to speak with inspectors. A team approach is ideal in order that Governors are able to add to and fill in any missed points. Our governor day in June will give Governors time with subject/strand leads to check their understanding of the curriculum and support teachers in honing their skills when articulating the ‘Intent, Implementation and Impact' of their strand/subjects. </w:t>
            </w:r>
          </w:p>
          <w:p>
            <w:pPr>
              <w:pStyle w:val="NoSpacing"/>
            </w:pPr>
            <w:r>
              <w:t xml:space="preserve">Nutfield Church Primary (last report - see next steps)  </w:t>
            </w:r>
          </w:p>
          <w:p>
            <w:pPr>
              <w:pStyle w:val="NoSpacing"/>
            </w:pPr>
            <w:hyperlink r:id="rId10" w:history="1">
              <w:r>
                <w:rPr>
                  <w:rStyle w:val="Hyperlink"/>
                  <w:rFonts w:eastAsia="Times New Roman"/>
                  <w:color w:val="auto"/>
                </w:rPr>
                <w:t>https://reports.ofsted.gov.uk/provider/21/125193</w:t>
              </w:r>
            </w:hyperlink>
          </w:p>
          <w:p>
            <w:pPr>
              <w:pStyle w:val="NoSpacing"/>
            </w:pPr>
            <w:r>
              <w:t>St Matthew's Academy </w:t>
            </w:r>
          </w:p>
          <w:p>
            <w:pPr>
              <w:pStyle w:val="NoSpacing"/>
            </w:pPr>
            <w:hyperlink r:id="rId11" w:history="1">
              <w:r>
                <w:rPr>
                  <w:rStyle w:val="Hyperlink"/>
                  <w:rFonts w:eastAsia="Times New Roman"/>
                  <w:color w:val="auto"/>
                </w:rPr>
                <w:t>https://reports.ofsted.gov.uk/provider/21/144994</w:t>
              </w:r>
            </w:hyperlink>
          </w:p>
          <w:p>
            <w:pPr>
              <w:pStyle w:val="NoSpacing"/>
            </w:pPr>
            <w:r>
              <w:t xml:space="preserve">St Peter's Infant School  </w:t>
            </w:r>
          </w:p>
          <w:p>
            <w:pPr>
              <w:pStyle w:val="NoSpacing"/>
            </w:pPr>
            <w:hyperlink r:id="rId12" w:history="1">
              <w:r>
                <w:rPr>
                  <w:rStyle w:val="Hyperlink"/>
                  <w:rFonts w:eastAsia="Times New Roman"/>
                  <w:color w:val="auto"/>
                </w:rPr>
                <w:t>https://reports.ofsted.gov.uk/provider/21/125197</w:t>
              </w:r>
            </w:hyperlink>
          </w:p>
          <w:p>
            <w:pPr>
              <w:pStyle w:val="NoSpacing"/>
            </w:pPr>
            <w:r>
              <w:t>St Mary's Junior School </w:t>
            </w:r>
          </w:p>
          <w:p>
            <w:pPr>
              <w:pStyle w:val="NoSpacing"/>
            </w:pPr>
            <w:hyperlink r:id="rId13" w:history="1">
              <w:r>
                <w:rPr>
                  <w:rStyle w:val="Hyperlink"/>
                  <w:rFonts w:eastAsia="Times New Roman"/>
                  <w:color w:val="auto"/>
                </w:rPr>
                <w:t>https://reports.ofsted.gov.uk/provider/21/125194</w:t>
              </w:r>
            </w:hyperlink>
          </w:p>
          <w:p>
            <w:pPr>
              <w:spacing w:after="0" w:line="240" w:lineRule="auto"/>
              <w:rPr>
                <w:rFonts w:asciiTheme="minorHAnsi" w:hAnsiTheme="minorHAnsi" w:cstheme="minorHAnsi"/>
                <w:lang w:eastAsia="en-GB"/>
              </w:rPr>
            </w:pPr>
          </w:p>
          <w:p>
            <w:pPr>
              <w:autoSpaceDE w:val="0"/>
              <w:autoSpaceDN w:val="0"/>
              <w:adjustRightInd w:val="0"/>
              <w:spacing w:after="0" w:line="240" w:lineRule="auto"/>
              <w:rPr>
                <w:rFonts w:asciiTheme="minorHAnsi" w:eastAsiaTheme="minorHAnsi" w:hAnsiTheme="minorHAnsi" w:cstheme="minorHAnsi"/>
                <w:color w:val="000000"/>
                <w:lang w:val="en-GB"/>
              </w:rPr>
            </w:pPr>
          </w:p>
        </w:tc>
      </w:tr>
      <w:tr>
        <w:tc>
          <w:tcPr>
            <w:tcW w:w="9016" w:type="dxa"/>
            <w:shd w:val="clear" w:color="auto" w:fill="FFC000"/>
          </w:tcPr>
          <w:p>
            <w:pPr>
              <w:rPr>
                <w:rFonts w:asciiTheme="minorHAnsi" w:eastAsiaTheme="minorHAnsi" w:hAnsiTheme="minorHAnsi" w:cstheme="minorHAnsi"/>
                <w:b/>
                <w:color w:val="000000"/>
                <w:lang w:val="en-GB"/>
              </w:rPr>
            </w:pPr>
            <w:r>
              <w:rPr>
                <w:b/>
                <w:lang w:val="en-GB" w:eastAsia="en-GB"/>
              </w:rPr>
              <w:t xml:space="preserve">The </w:t>
            </w:r>
            <w:proofErr w:type="spellStart"/>
            <w:r>
              <w:rPr>
                <w:b/>
                <w:lang w:val="en-GB" w:eastAsia="en-GB"/>
              </w:rPr>
              <w:t>Rt</w:t>
            </w:r>
            <w:proofErr w:type="spellEnd"/>
            <w:r>
              <w:rPr>
                <w:b/>
                <w:lang w:val="en-GB" w:eastAsia="en-GB"/>
              </w:rPr>
              <w:t xml:space="preserve"> Hon Gillian Keegan MP</w:t>
            </w:r>
          </w:p>
        </w:tc>
      </w:tr>
      <w:tr>
        <w:tc>
          <w:tcPr>
            <w:tcW w:w="9016" w:type="dxa"/>
            <w:shd w:val="clear" w:color="auto" w:fill="FFFFFF" w:themeFill="background1"/>
          </w:tcPr>
          <w:p>
            <w:pPr>
              <w:pStyle w:val="NoSpacing"/>
              <w:rPr>
                <w:lang w:val="en-GB" w:eastAsia="en-GB"/>
              </w:rPr>
            </w:pPr>
            <w:r>
              <w:rPr>
                <w:noProof/>
                <w:lang w:val="en-GB" w:eastAsia="en-GB"/>
              </w:rPr>
              <w:drawing>
                <wp:anchor distT="0" distB="0" distL="114300" distR="114300" simplePos="0" relativeHeight="251658240" behindDoc="0" locked="0" layoutInCell="1" allowOverlap="1">
                  <wp:simplePos x="0" y="0"/>
                  <wp:positionH relativeFrom="column">
                    <wp:posOffset>4445</wp:posOffset>
                  </wp:positionH>
                  <wp:positionV relativeFrom="paragraph">
                    <wp:posOffset>0</wp:posOffset>
                  </wp:positionV>
                  <wp:extent cx="2286000" cy="1200150"/>
                  <wp:effectExtent l="0" t="0" r="0" b="0"/>
                  <wp:wrapSquare wrapText="bothSides"/>
                  <wp:docPr id="4" name="Picture 4" descr="Gillian Keegan: 11 facts about the new education secr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llian Keegan: 11 facts about the new education secretar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eastAsia="en-GB"/>
              </w:rPr>
              <w:t xml:space="preserve">Current role holder - The </w:t>
            </w:r>
            <w:proofErr w:type="spellStart"/>
            <w:r>
              <w:rPr>
                <w:lang w:val="en-GB" w:eastAsia="en-GB"/>
              </w:rPr>
              <w:t>Rt</w:t>
            </w:r>
            <w:proofErr w:type="spellEnd"/>
            <w:r>
              <w:rPr>
                <w:lang w:val="en-GB" w:eastAsia="en-GB"/>
              </w:rPr>
              <w:t xml:space="preserve"> Hon Gillian Keegan MP</w:t>
            </w:r>
          </w:p>
          <w:p>
            <w:pPr>
              <w:pStyle w:val="NoSpacing"/>
              <w:rPr>
                <w:lang w:val="en-GB" w:eastAsia="en-GB"/>
              </w:rPr>
            </w:pPr>
          </w:p>
          <w:p>
            <w:pPr>
              <w:pStyle w:val="NoSpacing"/>
              <w:rPr>
                <w:lang w:val="en-GB" w:eastAsia="en-GB"/>
              </w:rPr>
            </w:pPr>
            <w:r>
              <w:rPr>
                <w:lang w:val="en-GB" w:eastAsia="en-GB"/>
              </w:rPr>
              <w:t>Gillian Keegan was appointed Secretary of State for Education on 25 October 2022.</w:t>
            </w:r>
          </w:p>
          <w:p>
            <w:pPr>
              <w:pStyle w:val="NoSpacing"/>
              <w:rPr>
                <w:lang w:val="en-GB" w:eastAsia="en-GB"/>
              </w:rPr>
            </w:pPr>
            <w:r>
              <w:rPr>
                <w:lang w:val="en-GB" w:eastAsia="en-GB"/>
              </w:rPr>
              <w:t>She was previously Parliamentary Under Secretary of State (Minister for Africa) at the Foreign, Commonwealth &amp; Development Office from 7 September 2022 to 25 October 2022.</w:t>
            </w:r>
          </w:p>
          <w:p>
            <w:pPr>
              <w:pStyle w:val="NoSpacing"/>
              <w:rPr>
                <w:lang w:val="en-GB" w:eastAsia="en-GB"/>
              </w:rPr>
            </w:pPr>
            <w:r>
              <w:rPr>
                <w:lang w:val="en-GB" w:eastAsia="en-GB"/>
              </w:rPr>
              <w:t>Prior to this Gillian served as:</w:t>
            </w:r>
          </w:p>
          <w:p>
            <w:pPr>
              <w:pStyle w:val="NoSpacing"/>
              <w:rPr>
                <w:lang w:val="en-GB" w:eastAsia="en-GB"/>
              </w:rPr>
            </w:pPr>
            <w:r>
              <w:rPr>
                <w:lang w:val="en-GB" w:eastAsia="en-GB"/>
              </w:rPr>
              <w:t>Minister of State (Minister for Care and Mental Health) at the Department of Health and Social Care - September 2021 to September 2022</w:t>
            </w:r>
          </w:p>
          <w:p>
            <w:pPr>
              <w:pStyle w:val="NoSpacing"/>
              <w:rPr>
                <w:lang w:val="en-GB" w:eastAsia="en-GB"/>
              </w:rPr>
            </w:pPr>
            <w:r>
              <w:rPr>
                <w:lang w:val="en-GB" w:eastAsia="en-GB"/>
              </w:rPr>
              <w:t>Parliamentary Under Secretary of State (Minister for Apprenticeships and Skills) at the Department for Education - February 2020 to September 2021</w:t>
            </w:r>
          </w:p>
          <w:p>
            <w:pPr>
              <w:pStyle w:val="NoSpacing"/>
              <w:rPr>
                <w:lang w:val="en-GB" w:eastAsia="en-GB"/>
              </w:rPr>
            </w:pPr>
            <w:r>
              <w:rPr>
                <w:lang w:val="en-GB" w:eastAsia="en-GB"/>
              </w:rPr>
              <w:t>Gillian was elected as Conservative MP for Chichester on 8 June 2017.</w:t>
            </w:r>
          </w:p>
          <w:p>
            <w:pPr>
              <w:pStyle w:val="NoSpacing"/>
              <w:rPr>
                <w:sz w:val="27"/>
                <w:szCs w:val="27"/>
                <w:lang w:val="en-GB" w:eastAsia="en-GB"/>
              </w:rPr>
            </w:pPr>
          </w:p>
        </w:tc>
      </w:tr>
      <w:tr>
        <w:tc>
          <w:tcPr>
            <w:tcW w:w="9016" w:type="dxa"/>
            <w:shd w:val="clear" w:color="auto" w:fill="FFC000"/>
          </w:tcPr>
          <w:p>
            <w:pPr>
              <w:rPr>
                <w:rFonts w:asciiTheme="minorHAnsi" w:eastAsiaTheme="minorHAnsi" w:hAnsiTheme="minorHAnsi" w:cstheme="minorHAnsi"/>
                <w:b/>
                <w:color w:val="000000"/>
                <w:lang w:val="en-GB"/>
              </w:rPr>
            </w:pPr>
            <w:r>
              <w:rPr>
                <w:rFonts w:asciiTheme="minorHAnsi" w:eastAsiaTheme="minorHAnsi" w:hAnsiTheme="minorHAnsi" w:cstheme="minorHAnsi"/>
                <w:b/>
                <w:color w:val="000000"/>
                <w:lang w:val="en-GB"/>
              </w:rPr>
              <w:t xml:space="preserve">SDBE/Academy update </w:t>
            </w:r>
          </w:p>
        </w:tc>
      </w:tr>
      <w:tr>
        <w:tc>
          <w:tcPr>
            <w:tcW w:w="9016" w:type="dxa"/>
          </w:tcPr>
          <w:p>
            <w:pPr>
              <w:autoSpaceDE w:val="0"/>
              <w:autoSpaceDN w:val="0"/>
              <w:adjustRightInd w:val="0"/>
              <w:spacing w:after="0" w:line="240" w:lineRule="auto"/>
              <w:rPr>
                <w:rFonts w:asciiTheme="minorHAnsi" w:eastAsiaTheme="minorHAnsi" w:hAnsiTheme="minorHAnsi" w:cstheme="minorHAnsi"/>
                <w:color w:val="000000"/>
                <w:lang w:val="en-GB"/>
              </w:rPr>
            </w:pPr>
            <w:r>
              <w:rPr>
                <w:rFonts w:asciiTheme="minorHAnsi" w:eastAsiaTheme="minorHAnsi" w:hAnsiTheme="minorHAnsi" w:cstheme="minorHAnsi"/>
                <w:b/>
                <w:bCs/>
                <w:color w:val="000000"/>
                <w:lang w:val="en-GB"/>
              </w:rPr>
              <w:t xml:space="preserve">Schools Bill Survey </w:t>
            </w:r>
          </w:p>
          <w:p>
            <w:pPr>
              <w:autoSpaceDE w:val="0"/>
              <w:autoSpaceDN w:val="0"/>
              <w:adjustRightInd w:val="0"/>
              <w:spacing w:after="0" w:line="240" w:lineRule="auto"/>
              <w:rPr>
                <w:rFonts w:asciiTheme="minorHAnsi" w:eastAsiaTheme="minorHAnsi" w:hAnsiTheme="minorHAnsi" w:cstheme="minorHAnsi"/>
                <w:color w:val="000000"/>
                <w:lang w:val="en-GB"/>
              </w:rPr>
            </w:pPr>
            <w:r>
              <w:rPr>
                <w:rFonts w:asciiTheme="minorHAnsi" w:eastAsiaTheme="minorHAnsi" w:hAnsiTheme="minorHAnsi" w:cstheme="minorHAnsi"/>
                <w:color w:val="000000"/>
                <w:lang w:val="en-GB"/>
              </w:rPr>
              <w:t xml:space="preserve">‘As discussed last term, we are now moving towards closer information finding from our schools regarding individual plans in response to the academy agenda. The next phase for SDBE is to gather information. We want to be clear about where on the journey our VA schools are in considering when they may be ready to engage with the initial conversation regarding </w:t>
            </w:r>
            <w:proofErr w:type="spellStart"/>
            <w:r>
              <w:rPr>
                <w:rFonts w:asciiTheme="minorHAnsi" w:eastAsiaTheme="minorHAnsi" w:hAnsiTheme="minorHAnsi" w:cstheme="minorHAnsi"/>
                <w:color w:val="000000"/>
                <w:lang w:val="en-GB"/>
              </w:rPr>
              <w:t>academisation</w:t>
            </w:r>
            <w:proofErr w:type="spellEnd"/>
            <w:r>
              <w:rPr>
                <w:rFonts w:asciiTheme="minorHAnsi" w:eastAsiaTheme="minorHAnsi" w:hAnsiTheme="minorHAnsi" w:cstheme="minorHAnsi"/>
                <w:color w:val="000000"/>
                <w:lang w:val="en-GB"/>
              </w:rPr>
              <w:t xml:space="preserve">. We also want to know from Stand Alone Trusts what their views are given that the changes mean all schools will be part of a MAT. </w:t>
            </w:r>
          </w:p>
          <w:p>
            <w:pPr>
              <w:autoSpaceDE w:val="0"/>
              <w:autoSpaceDN w:val="0"/>
              <w:adjustRightInd w:val="0"/>
              <w:spacing w:after="0" w:line="240" w:lineRule="auto"/>
              <w:rPr>
                <w:rFonts w:asciiTheme="minorHAnsi" w:eastAsiaTheme="minorHAnsi" w:hAnsiTheme="minorHAnsi" w:cstheme="minorHAnsi"/>
                <w:color w:val="000000"/>
                <w:lang w:val="en-GB"/>
              </w:rPr>
            </w:pPr>
            <w:r>
              <w:rPr>
                <w:rFonts w:asciiTheme="minorHAnsi" w:eastAsiaTheme="minorHAnsi" w:hAnsiTheme="minorHAnsi" w:cstheme="minorHAnsi"/>
                <w:color w:val="000000"/>
                <w:lang w:val="en-GB"/>
              </w:rPr>
              <w:t xml:space="preserve">At the same time, our own SDBE MAT is looking at expansion models and we are working together to ensure that the future offer from the Trust meets the needs of all of our schools. The SDBE MAT remains the home for schools who wish to become an academy and will continue to welcome applications from schools who are ready to join.’ Roz </w:t>
            </w:r>
            <w:proofErr w:type="spellStart"/>
            <w:r>
              <w:rPr>
                <w:rFonts w:asciiTheme="minorHAnsi" w:eastAsiaTheme="minorHAnsi" w:hAnsiTheme="minorHAnsi" w:cstheme="minorHAnsi"/>
                <w:color w:val="000000"/>
                <w:lang w:val="en-GB"/>
              </w:rPr>
              <w:t>Cordner</w:t>
            </w:r>
            <w:proofErr w:type="spellEnd"/>
            <w:r>
              <w:rPr>
                <w:rFonts w:asciiTheme="minorHAnsi" w:eastAsiaTheme="minorHAnsi" w:hAnsiTheme="minorHAnsi" w:cstheme="minorHAnsi"/>
                <w:color w:val="000000"/>
                <w:lang w:val="en-GB"/>
              </w:rPr>
              <w:t xml:space="preserve">, Director. </w:t>
            </w:r>
          </w:p>
          <w:p>
            <w:pPr>
              <w:autoSpaceDE w:val="0"/>
              <w:autoSpaceDN w:val="0"/>
              <w:adjustRightInd w:val="0"/>
              <w:spacing w:after="0" w:line="240" w:lineRule="auto"/>
              <w:rPr>
                <w:rFonts w:asciiTheme="minorHAnsi" w:eastAsiaTheme="minorHAnsi" w:hAnsiTheme="minorHAnsi" w:cstheme="minorHAnsi"/>
                <w:color w:val="000000"/>
                <w:lang w:val="en-GB"/>
              </w:rPr>
            </w:pPr>
          </w:p>
          <w:p>
            <w:pPr>
              <w:autoSpaceDE w:val="0"/>
              <w:autoSpaceDN w:val="0"/>
              <w:adjustRightInd w:val="0"/>
              <w:spacing w:after="0" w:line="240" w:lineRule="auto"/>
              <w:rPr>
                <w:rFonts w:asciiTheme="minorHAnsi" w:eastAsiaTheme="minorHAnsi" w:hAnsiTheme="minorHAnsi" w:cstheme="minorHAnsi"/>
                <w:color w:val="000000"/>
                <w:lang w:val="en-GB"/>
              </w:rPr>
            </w:pPr>
            <w:r>
              <w:rPr>
                <w:rFonts w:asciiTheme="minorHAnsi" w:eastAsiaTheme="minorHAnsi" w:hAnsiTheme="minorHAnsi" w:cstheme="minorHAnsi"/>
                <w:color w:val="000000"/>
                <w:lang w:val="en-GB"/>
              </w:rPr>
              <w:t xml:space="preserve">In terms of engagement here, I have submitted comments to a broad ‘Survey monkey’ questionnaire relating to possible dates for transferring to an academy. This survey simply gauges current thoughts to enable to Diocese to plan ahead. There is of course a capacity issue, should all schools want to join the MAT now. It was reassuring to hear from Roz that ‘all schools will have a home if they want one ‘. Currently though, there are many unanswered questions. </w:t>
            </w:r>
            <w:r>
              <w:rPr>
                <w:rFonts w:asciiTheme="minorHAnsi" w:eastAsiaTheme="minorHAnsi" w:hAnsiTheme="minorHAnsi" w:cstheme="minorHAnsi"/>
                <w:color w:val="000000"/>
                <w:lang w:val="en-GB"/>
              </w:rPr>
              <w:br/>
            </w:r>
            <w:r>
              <w:rPr>
                <w:rFonts w:asciiTheme="minorHAnsi" w:eastAsiaTheme="minorHAnsi" w:hAnsiTheme="minorHAnsi" w:cstheme="minorHAnsi"/>
                <w:color w:val="000000"/>
                <w:lang w:val="en-GB"/>
              </w:rPr>
              <w:br/>
              <w:t>Last week, (W/C 26</w:t>
            </w:r>
            <w:r>
              <w:rPr>
                <w:rFonts w:asciiTheme="minorHAnsi" w:eastAsiaTheme="minorHAnsi" w:hAnsiTheme="minorHAnsi" w:cstheme="minorHAnsi"/>
                <w:color w:val="000000"/>
                <w:vertAlign w:val="superscript"/>
                <w:lang w:val="en-GB"/>
              </w:rPr>
              <w:t>th</w:t>
            </w:r>
            <w:r>
              <w:rPr>
                <w:rFonts w:asciiTheme="minorHAnsi" w:eastAsiaTheme="minorHAnsi" w:hAnsiTheme="minorHAnsi" w:cstheme="minorHAnsi"/>
                <w:color w:val="000000"/>
                <w:lang w:val="en-GB"/>
              </w:rPr>
              <w:t xml:space="preserve"> September) we had a visit from Rachel Phillips (SDBE advisor). She had a tour of the school. We discussed our curriculum, The EDI work the school is doing (she leads this area in the Diocese), Marketing/presentation of ideas, Governance, School Development Plans. </w:t>
            </w:r>
          </w:p>
          <w:p>
            <w:pPr>
              <w:autoSpaceDE w:val="0"/>
              <w:autoSpaceDN w:val="0"/>
              <w:adjustRightInd w:val="0"/>
              <w:spacing w:after="0" w:line="240" w:lineRule="auto"/>
              <w:rPr>
                <w:rFonts w:asciiTheme="minorHAnsi" w:hAnsiTheme="minorHAnsi" w:cstheme="minorHAnsi"/>
              </w:rPr>
            </w:pPr>
          </w:p>
          <w:p>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We have completed and sent our EDI questionnaire responses to the Diocese. </w:t>
            </w:r>
          </w:p>
          <w:p>
            <w:pPr>
              <w:autoSpaceDE w:val="0"/>
              <w:autoSpaceDN w:val="0"/>
              <w:adjustRightInd w:val="0"/>
              <w:spacing w:after="0" w:line="240" w:lineRule="auto"/>
              <w:rPr>
                <w:rFonts w:asciiTheme="minorHAnsi" w:hAnsiTheme="minorHAnsi" w:cstheme="minorHAnsi"/>
              </w:rPr>
            </w:pPr>
          </w:p>
        </w:tc>
      </w:tr>
      <w:tr>
        <w:tc>
          <w:tcPr>
            <w:tcW w:w="9016" w:type="dxa"/>
            <w:shd w:val="clear" w:color="auto" w:fill="FFC000"/>
          </w:tcPr>
          <w:p>
            <w:pPr>
              <w:rPr>
                <w:rFonts w:asciiTheme="minorHAnsi" w:eastAsiaTheme="minorHAnsi" w:hAnsiTheme="minorHAnsi" w:cstheme="minorHAnsi"/>
                <w:b/>
                <w:color w:val="000000"/>
                <w:lang w:val="en-GB"/>
              </w:rPr>
            </w:pPr>
            <w:r>
              <w:rPr>
                <w:rFonts w:asciiTheme="minorHAnsi" w:eastAsiaTheme="minorHAnsi" w:hAnsiTheme="minorHAnsi" w:cstheme="minorHAnsi"/>
                <w:b/>
                <w:color w:val="000000"/>
                <w:lang w:val="en-GB"/>
              </w:rPr>
              <w:t>Inclusion and SEND</w:t>
            </w:r>
          </w:p>
        </w:tc>
      </w:tr>
      <w:tr>
        <w:tc>
          <w:tcPr>
            <w:tcW w:w="9016" w:type="dxa"/>
            <w:shd w:val="clear" w:color="auto" w:fill="auto"/>
          </w:tcPr>
          <w:p>
            <w:pPr>
              <w:rPr>
                <w:rFonts w:asciiTheme="minorHAnsi" w:hAnsiTheme="minorHAnsi" w:cstheme="minorHAnsi"/>
                <w:shd w:val="clear" w:color="auto" w:fill="FFFFFF"/>
              </w:rPr>
            </w:pPr>
            <w:r>
              <w:rPr>
                <w:rFonts w:asciiTheme="minorHAnsi" w:hAnsiTheme="minorHAnsi" w:cstheme="minorHAnsi"/>
                <w:shd w:val="clear" w:color="auto" w:fill="FFFFFF"/>
              </w:rPr>
              <w:t xml:space="preserve">In October Surrey County Council SEND </w:t>
            </w:r>
            <w:proofErr w:type="spellStart"/>
            <w:proofErr w:type="gramStart"/>
            <w:r>
              <w:rPr>
                <w:rFonts w:asciiTheme="minorHAnsi" w:hAnsiTheme="minorHAnsi" w:cstheme="minorHAnsi"/>
                <w:shd w:val="clear" w:color="auto" w:fill="FFFFFF"/>
              </w:rPr>
              <w:t>dept</w:t>
            </w:r>
            <w:proofErr w:type="spellEnd"/>
            <w:r>
              <w:rPr>
                <w:rFonts w:asciiTheme="minorHAnsi" w:hAnsiTheme="minorHAnsi" w:cstheme="minorHAnsi"/>
                <w:shd w:val="clear" w:color="auto" w:fill="FFFFFF"/>
              </w:rPr>
              <w:t xml:space="preserve"> ;launched</w:t>
            </w:r>
            <w:proofErr w:type="gramEnd"/>
            <w:r>
              <w:rPr>
                <w:rFonts w:asciiTheme="minorHAnsi" w:hAnsiTheme="minorHAnsi" w:cstheme="minorHAnsi"/>
                <w:shd w:val="clear" w:color="auto" w:fill="FFFFFF"/>
              </w:rPr>
              <w:t xml:space="preserve"> their Ordinarily Available Provision guidance that clearly sets out the support that schools are able to provide to support learners with additional needs from ordinarily available resources.</w:t>
            </w:r>
            <w:r>
              <w:rPr>
                <w:rFonts w:asciiTheme="minorHAnsi" w:hAnsiTheme="minorHAnsi" w:cstheme="minorHAnsi"/>
              </w:rPr>
              <w:br/>
            </w:r>
            <w:r>
              <w:rPr>
                <w:rFonts w:asciiTheme="minorHAnsi" w:hAnsiTheme="minorHAnsi" w:cstheme="minorHAnsi"/>
              </w:rPr>
              <w:br/>
            </w:r>
            <w:r>
              <w:rPr>
                <w:rFonts w:asciiTheme="minorHAnsi" w:hAnsiTheme="minorHAnsi" w:cstheme="minorHAnsi"/>
                <w:shd w:val="clear" w:color="auto" w:fill="FFFFFF"/>
              </w:rPr>
              <w:t xml:space="preserve">This guidance has been coproduced by the Inclusion and Additional Needs Service and school </w:t>
            </w:r>
            <w:proofErr w:type="spellStart"/>
            <w:r>
              <w:rPr>
                <w:rFonts w:asciiTheme="minorHAnsi" w:hAnsiTheme="minorHAnsi" w:cstheme="minorHAnsi"/>
                <w:shd w:val="clear" w:color="auto" w:fill="FFFFFF"/>
              </w:rPr>
              <w:t>SENCos</w:t>
            </w:r>
            <w:proofErr w:type="spellEnd"/>
            <w:r>
              <w:rPr>
                <w:rFonts w:asciiTheme="minorHAnsi" w:hAnsiTheme="minorHAnsi" w:cstheme="minorHAnsi"/>
                <w:shd w:val="clear" w:color="auto" w:fill="FFFFFF"/>
              </w:rPr>
              <w:t xml:space="preserve">, and it is designed to help schools to plan the type of support that can be put in place for a child or young person. It will help support education settings, practitioners, families, and </w:t>
            </w:r>
            <w:proofErr w:type="spellStart"/>
            <w:r>
              <w:rPr>
                <w:rFonts w:asciiTheme="minorHAnsi" w:hAnsiTheme="minorHAnsi" w:cstheme="minorHAnsi"/>
                <w:shd w:val="clear" w:color="auto" w:fill="FFFFFF"/>
              </w:rPr>
              <w:t>carers</w:t>
            </w:r>
            <w:proofErr w:type="spellEnd"/>
            <w:r>
              <w:rPr>
                <w:rFonts w:asciiTheme="minorHAnsi" w:hAnsiTheme="minorHAnsi" w:cstheme="minorHAnsi"/>
                <w:shd w:val="clear" w:color="auto" w:fill="FFFFFF"/>
              </w:rPr>
              <w:t xml:space="preserve"> to work together to ensure that children’s additional needs are met at the earliest opportunity.</w:t>
            </w:r>
            <w:r>
              <w:rPr>
                <w:rFonts w:asciiTheme="minorHAnsi" w:hAnsiTheme="minorHAnsi" w:cstheme="minorHAnsi"/>
              </w:rPr>
              <w:br/>
            </w:r>
            <w:r>
              <w:rPr>
                <w:rFonts w:asciiTheme="minorHAnsi" w:hAnsiTheme="minorHAnsi" w:cstheme="minorHAnsi"/>
              </w:rPr>
              <w:br/>
            </w:r>
            <w:r>
              <w:rPr>
                <w:rFonts w:asciiTheme="minorHAnsi" w:hAnsiTheme="minorHAnsi" w:cstheme="minorHAnsi"/>
                <w:shd w:val="clear" w:color="auto" w:fill="FFFFFF"/>
              </w:rPr>
              <w:t>The SEND team state that</w:t>
            </w:r>
            <w:r>
              <w:rPr>
                <w:rFonts w:asciiTheme="minorHAnsi" w:hAnsiTheme="minorHAnsi" w:cstheme="minorHAnsi"/>
                <w:b/>
                <w:i/>
                <w:shd w:val="clear" w:color="auto" w:fill="FFFFFF"/>
              </w:rPr>
              <w:t xml:space="preserve"> “The Surrey SEND system is working hard to improve outcomes for children with additional needs and disabilities, through increasing sufficiency of SEN school places, partnership working and early intervention. Early intervention and inclusion is vital in helping to address and respond to the diversity of needs of all children and young people.”</w:t>
            </w:r>
          </w:p>
          <w:p>
            <w:pPr>
              <w:rPr>
                <w:rFonts w:asciiTheme="minorHAnsi" w:hAnsiTheme="minorHAnsi" w:cstheme="minorHAnsi"/>
                <w:shd w:val="clear" w:color="auto" w:fill="FFFFFF"/>
              </w:rPr>
            </w:pPr>
            <w:r>
              <w:rPr>
                <w:rFonts w:asciiTheme="minorHAnsi" w:hAnsiTheme="minorHAnsi" w:cstheme="minorHAnsi"/>
                <w:b/>
                <w:shd w:val="clear" w:color="auto" w:fill="FFFFFF"/>
              </w:rPr>
              <w:t>An Overview</w:t>
            </w:r>
            <w:r>
              <w:rPr>
                <w:rFonts w:asciiTheme="minorHAnsi" w:hAnsiTheme="minorHAnsi" w:cstheme="minorHAnsi"/>
                <w:shd w:val="clear" w:color="auto" w:fill="FFFFFF"/>
              </w:rPr>
              <w:t xml:space="preserve"> </w:t>
            </w:r>
            <w:r>
              <w:rPr>
                <w:rFonts w:asciiTheme="minorHAnsi" w:hAnsiTheme="minorHAnsi" w:cstheme="minorHAnsi"/>
              </w:rPr>
              <w:br/>
            </w:r>
            <w:r>
              <w:rPr>
                <w:rFonts w:asciiTheme="minorHAnsi" w:hAnsiTheme="minorHAnsi" w:cstheme="minorHAnsi"/>
              </w:rPr>
              <w:br/>
            </w:r>
            <w:r>
              <w:rPr>
                <w:rFonts w:asciiTheme="minorHAnsi" w:hAnsiTheme="minorHAnsi" w:cstheme="minorHAnsi"/>
                <w:shd w:val="clear" w:color="auto" w:fill="FFFFFF"/>
              </w:rPr>
              <w:t>1.</w:t>
            </w:r>
            <w:r>
              <w:rPr>
                <w:rFonts w:asciiTheme="minorHAnsi" w:hAnsiTheme="minorHAnsi" w:cstheme="minorHAnsi"/>
                <w:b/>
                <w:bCs/>
                <w:shd w:val="clear" w:color="auto" w:fill="FFFFFF"/>
              </w:rPr>
              <w:t> 'High Quality Teaching’</w:t>
            </w:r>
            <w:r>
              <w:rPr>
                <w:rFonts w:asciiTheme="minorHAnsi" w:hAnsiTheme="minorHAnsi" w:cstheme="minorHAnsi"/>
                <w:shd w:val="clear" w:color="auto" w:fill="FFFFFF"/>
              </w:rPr>
              <w:t>. This outlines support for teachers to plan and deliver accessible learning, including a range of strategies to support learners to access and engage with the curriculum.</w:t>
            </w:r>
            <w:r>
              <w:rPr>
                <w:rFonts w:asciiTheme="minorHAnsi" w:hAnsiTheme="minorHAnsi" w:cstheme="minorHAnsi"/>
              </w:rPr>
              <w:br/>
            </w:r>
            <w:r>
              <w:rPr>
                <w:rFonts w:asciiTheme="minorHAnsi" w:hAnsiTheme="minorHAnsi" w:cstheme="minorHAnsi"/>
                <w:shd w:val="clear" w:color="auto" w:fill="FFFFFF"/>
              </w:rPr>
              <w:t>2.</w:t>
            </w:r>
            <w:r>
              <w:rPr>
                <w:rFonts w:asciiTheme="minorHAnsi" w:hAnsiTheme="minorHAnsi" w:cstheme="minorHAnsi"/>
                <w:b/>
                <w:bCs/>
                <w:shd w:val="clear" w:color="auto" w:fill="FFFFFF"/>
              </w:rPr>
              <w:t> ‘Graduated Response’</w:t>
            </w:r>
            <w:r>
              <w:rPr>
                <w:rFonts w:asciiTheme="minorHAnsi" w:hAnsiTheme="minorHAnsi" w:cstheme="minorHAnsi"/>
                <w:shd w:val="clear" w:color="auto" w:fill="FFFFFF"/>
              </w:rPr>
              <w:t xml:space="preserve">. This section is for parents, teachers, and </w:t>
            </w:r>
            <w:proofErr w:type="spellStart"/>
            <w:r>
              <w:rPr>
                <w:rFonts w:asciiTheme="minorHAnsi" w:hAnsiTheme="minorHAnsi" w:cstheme="minorHAnsi"/>
                <w:shd w:val="clear" w:color="auto" w:fill="FFFFFF"/>
              </w:rPr>
              <w:t>SENCos</w:t>
            </w:r>
            <w:proofErr w:type="spellEnd"/>
            <w:r>
              <w:rPr>
                <w:rFonts w:asciiTheme="minorHAnsi" w:hAnsiTheme="minorHAnsi" w:cstheme="minorHAnsi"/>
                <w:shd w:val="clear" w:color="auto" w:fill="FFFFFF"/>
              </w:rPr>
              <w:t xml:space="preserve"> where concerns persist despite high quality teaching, and outlines the next steps to find support.</w:t>
            </w:r>
            <w:r>
              <w:rPr>
                <w:rFonts w:asciiTheme="minorHAnsi" w:hAnsiTheme="minorHAnsi" w:cstheme="minorHAnsi"/>
              </w:rPr>
              <w:br/>
            </w:r>
            <w:r>
              <w:rPr>
                <w:rFonts w:asciiTheme="minorHAnsi" w:hAnsiTheme="minorHAnsi" w:cstheme="minorHAnsi"/>
                <w:shd w:val="clear" w:color="auto" w:fill="FFFFFF"/>
              </w:rPr>
              <w:t>3. </w:t>
            </w:r>
            <w:r>
              <w:rPr>
                <w:rFonts w:asciiTheme="minorHAnsi" w:hAnsiTheme="minorHAnsi" w:cstheme="minorHAnsi"/>
                <w:b/>
                <w:bCs/>
                <w:shd w:val="clear" w:color="auto" w:fill="FFFFFF"/>
              </w:rPr>
              <w:t>‘Ordinarily Available Provision’</w:t>
            </w:r>
            <w:r>
              <w:rPr>
                <w:rFonts w:asciiTheme="minorHAnsi" w:hAnsiTheme="minorHAnsi" w:cstheme="minorHAnsi"/>
                <w:shd w:val="clear" w:color="auto" w:fill="FFFFFF"/>
              </w:rPr>
              <w:t>. This section contains a range of additional strategies and interventions when determining the school's SEND offer in relation to their learners' additional needs.</w:t>
            </w:r>
            <w:r>
              <w:rPr>
                <w:rFonts w:asciiTheme="minorHAnsi" w:hAnsiTheme="minorHAnsi" w:cstheme="minorHAnsi"/>
              </w:rPr>
              <w:br/>
            </w:r>
            <w:r>
              <w:rPr>
                <w:rFonts w:asciiTheme="minorHAnsi" w:hAnsiTheme="minorHAnsi" w:cstheme="minorHAnsi"/>
                <w:shd w:val="clear" w:color="auto" w:fill="FFFFFF"/>
              </w:rPr>
              <w:t>4. </w:t>
            </w:r>
            <w:r>
              <w:rPr>
                <w:rFonts w:asciiTheme="minorHAnsi" w:hAnsiTheme="minorHAnsi" w:cstheme="minorHAnsi"/>
                <w:b/>
                <w:bCs/>
                <w:shd w:val="clear" w:color="auto" w:fill="FFFFFF"/>
              </w:rPr>
              <w:t>‘Additional Support’</w:t>
            </w:r>
            <w:r>
              <w:rPr>
                <w:rFonts w:asciiTheme="minorHAnsi" w:hAnsiTheme="minorHAnsi" w:cstheme="minorHAnsi"/>
                <w:shd w:val="clear" w:color="auto" w:fill="FFFFFF"/>
              </w:rPr>
              <w:t xml:space="preserve">. This section includes helpful signposting for </w:t>
            </w:r>
            <w:proofErr w:type="spellStart"/>
            <w:r>
              <w:rPr>
                <w:rFonts w:asciiTheme="minorHAnsi" w:hAnsiTheme="minorHAnsi" w:cstheme="minorHAnsi"/>
                <w:shd w:val="clear" w:color="auto" w:fill="FFFFFF"/>
              </w:rPr>
              <w:t>SENCos</w:t>
            </w:r>
            <w:proofErr w:type="spellEnd"/>
            <w:r>
              <w:rPr>
                <w:rFonts w:asciiTheme="minorHAnsi" w:hAnsiTheme="minorHAnsi" w:cstheme="minorHAnsi"/>
                <w:shd w:val="clear" w:color="auto" w:fill="FFFFFF"/>
              </w:rPr>
              <w:t xml:space="preserve"> to additional resources and the offer available from Surrey Education Services.</w:t>
            </w:r>
            <w:r>
              <w:rPr>
                <w:rFonts w:asciiTheme="minorHAnsi" w:hAnsiTheme="minorHAnsi" w:cstheme="minorHAnsi"/>
              </w:rPr>
              <w:br/>
            </w:r>
            <w:r>
              <w:rPr>
                <w:rFonts w:asciiTheme="minorHAnsi" w:hAnsiTheme="minorHAnsi" w:cstheme="minorHAnsi"/>
                <w:shd w:val="clear" w:color="auto" w:fill="FFFFFF"/>
              </w:rPr>
              <w:t>5. </w:t>
            </w:r>
            <w:r>
              <w:rPr>
                <w:rFonts w:asciiTheme="minorHAnsi" w:hAnsiTheme="minorHAnsi" w:cstheme="minorHAnsi"/>
                <w:b/>
                <w:bCs/>
                <w:shd w:val="clear" w:color="auto" w:fill="FFFFFF"/>
              </w:rPr>
              <w:t>‘Provision Mapping Guidance’</w:t>
            </w:r>
            <w:r>
              <w:rPr>
                <w:rFonts w:asciiTheme="minorHAnsi" w:hAnsiTheme="minorHAnsi" w:cstheme="minorHAnsi"/>
                <w:shd w:val="clear" w:color="auto" w:fill="FFFFFF"/>
              </w:rPr>
              <w:t xml:space="preserve">. This section is of relevance to teachers, </w:t>
            </w:r>
            <w:proofErr w:type="spellStart"/>
            <w:r>
              <w:rPr>
                <w:rFonts w:asciiTheme="minorHAnsi" w:hAnsiTheme="minorHAnsi" w:cstheme="minorHAnsi"/>
                <w:shd w:val="clear" w:color="auto" w:fill="FFFFFF"/>
              </w:rPr>
              <w:t>SENCos</w:t>
            </w:r>
            <w:proofErr w:type="spellEnd"/>
            <w:r>
              <w:rPr>
                <w:rFonts w:asciiTheme="minorHAnsi" w:hAnsiTheme="minorHAnsi" w:cstheme="minorHAnsi"/>
                <w:shd w:val="clear" w:color="auto" w:fill="FFFFFF"/>
              </w:rPr>
              <w:t xml:space="preserve"> and school leaders when determining the school's SEND offer in relation to their learners' additional needs. It will also support conversations between schools and parents so the right support can be </w:t>
            </w:r>
            <w:proofErr w:type="spellStart"/>
            <w:r>
              <w:rPr>
                <w:rFonts w:asciiTheme="minorHAnsi" w:hAnsiTheme="minorHAnsi" w:cstheme="minorHAnsi"/>
                <w:shd w:val="clear" w:color="auto" w:fill="FFFFFF"/>
              </w:rPr>
              <w:t>prioritised</w:t>
            </w:r>
            <w:proofErr w:type="spellEnd"/>
            <w:r>
              <w:rPr>
                <w:rFonts w:asciiTheme="minorHAnsi" w:hAnsiTheme="minorHAnsi" w:cstheme="minorHAnsi"/>
                <w:shd w:val="clear" w:color="auto" w:fill="FFFFFF"/>
              </w:rPr>
              <w:t xml:space="preserve"> at the right time.</w:t>
            </w:r>
          </w:p>
        </w:tc>
      </w:tr>
      <w:tr>
        <w:tc>
          <w:tcPr>
            <w:tcW w:w="9016" w:type="dxa"/>
            <w:shd w:val="clear" w:color="auto" w:fill="FFC000"/>
          </w:tcPr>
          <w:p>
            <w:pPr>
              <w:rPr>
                <w:rFonts w:asciiTheme="minorHAnsi" w:hAnsiTheme="minorHAnsi" w:cstheme="minorHAnsi"/>
                <w:b/>
              </w:rPr>
            </w:pPr>
            <w:r>
              <w:rPr>
                <w:rFonts w:asciiTheme="minorHAnsi" w:eastAsiaTheme="minorHAnsi" w:hAnsiTheme="minorHAnsi" w:cstheme="minorHAnsi"/>
                <w:b/>
                <w:color w:val="000000"/>
                <w:lang w:val="en-GB"/>
              </w:rPr>
              <w:t xml:space="preserve">Equality </w:t>
            </w:r>
          </w:p>
        </w:tc>
      </w:tr>
      <w:tr>
        <w:trPr>
          <w:trHeight w:val="699"/>
        </w:trPr>
        <w:tc>
          <w:tcPr>
            <w:tcW w:w="9016" w:type="dxa"/>
          </w:tcPr>
          <w:p>
            <w:pPr>
              <w:shd w:val="clear" w:color="auto" w:fill="FFFFFF"/>
              <w:spacing w:after="225" w:line="240" w:lineRule="auto"/>
              <w:rPr>
                <w:rFonts w:asciiTheme="minorHAnsi" w:eastAsia="Times New Roman" w:hAnsiTheme="minorHAnsi" w:cstheme="minorHAnsi"/>
                <w:color w:val="364546"/>
                <w:lang w:val="en-GB" w:eastAsia="en-GB"/>
              </w:rPr>
            </w:pPr>
            <w:r>
              <w:rPr>
                <w:rFonts w:asciiTheme="minorHAnsi" w:eastAsia="Times New Roman" w:hAnsiTheme="minorHAnsi" w:cstheme="minorHAnsi"/>
                <w:color w:val="364546"/>
                <w:lang w:val="en-GB" w:eastAsia="en-GB"/>
              </w:rPr>
              <w:t>This guide for the Public Sector Equality Duty was updated in March 2022.</w:t>
            </w:r>
          </w:p>
          <w:p>
            <w:pPr>
              <w:shd w:val="clear" w:color="auto" w:fill="FFFFFF"/>
              <w:spacing w:after="165" w:line="240" w:lineRule="auto"/>
              <w:rPr>
                <w:rFonts w:asciiTheme="minorHAnsi" w:eastAsia="Times New Roman" w:hAnsiTheme="minorHAnsi" w:cstheme="minorHAnsi"/>
                <w:color w:val="364546"/>
                <w:lang w:val="en-GB" w:eastAsia="en-GB"/>
              </w:rPr>
            </w:pPr>
            <w:r>
              <w:rPr>
                <w:rFonts w:asciiTheme="minorHAnsi" w:eastAsia="Times New Roman" w:hAnsiTheme="minorHAnsi" w:cstheme="minorHAnsi"/>
                <w:color w:val="364546"/>
                <w:lang w:val="en-GB" w:eastAsia="en-GB"/>
              </w:rPr>
              <w:t xml:space="preserve">This guide is one of a series written by the Equality and Human Rights Commission (the Commission) to explain how public authorities can meet the requirements of the Equality Act 2010 (the Act). The Act brought together all previous equality legislation in England, Scotland and Wales. The Act included the public sector equality duty, which replaced the former duties relating to race, disability and gender equality. The public sector equality duty came into force on 5 April 2011. Also see SDP focus are (below)  for this area of school development </w:t>
            </w:r>
          </w:p>
          <w:p>
            <w:pPr>
              <w:shd w:val="clear" w:color="auto" w:fill="FFFFFF"/>
              <w:spacing w:after="165" w:line="240" w:lineRule="auto"/>
              <w:rPr>
                <w:rFonts w:asciiTheme="minorHAnsi" w:eastAsia="Times New Roman" w:hAnsiTheme="minorHAnsi" w:cstheme="minorHAnsi"/>
                <w:color w:val="364546"/>
                <w:lang w:val="en-GB" w:eastAsia="en-GB"/>
              </w:rPr>
            </w:pPr>
            <w:r>
              <w:rPr>
                <w:rFonts w:asciiTheme="minorHAnsi" w:eastAsia="Times New Roman" w:hAnsiTheme="minorHAnsi" w:cstheme="minorHAnsi"/>
                <w:color w:val="364546"/>
                <w:lang w:val="en-GB" w:eastAsia="en-GB"/>
              </w:rPr>
              <w:t xml:space="preserve">Key Governors and Senior leaders to initiate an Equality, Diversity and Inclusion research group, to ensure key protected groups are supported and representation is actively demonstrated. (see Public Sector Equality Duty strategy overview) </w:t>
            </w:r>
            <w:r>
              <w:rPr>
                <w:rFonts w:asciiTheme="minorHAnsi" w:eastAsia="Times New Roman" w:hAnsiTheme="minorHAnsi" w:cstheme="minorHAnsi"/>
                <w:color w:val="364546"/>
                <w:lang w:val="en-GB" w:eastAsia="en-GB"/>
              </w:rPr>
              <w:tab/>
              <w:t xml:space="preserve">-Anti Racist Charter </w:t>
            </w:r>
          </w:p>
          <w:p>
            <w:pPr>
              <w:pStyle w:val="NoSpacing"/>
              <w:rPr>
                <w:lang w:val="en-GB" w:eastAsia="en-GB"/>
              </w:rPr>
            </w:pPr>
            <w:r>
              <w:rPr>
                <w:lang w:val="en-GB" w:eastAsia="en-GB"/>
              </w:rPr>
              <w:t>-Review the curriculum</w:t>
            </w:r>
          </w:p>
          <w:p>
            <w:pPr>
              <w:pStyle w:val="NoSpacing"/>
              <w:rPr>
                <w:lang w:val="en-GB" w:eastAsia="en-GB"/>
              </w:rPr>
            </w:pPr>
            <w:r>
              <w:rPr>
                <w:lang w:val="en-GB" w:eastAsia="en-GB"/>
              </w:rPr>
              <w:t>-Review employment processes</w:t>
            </w:r>
          </w:p>
          <w:p>
            <w:pPr>
              <w:pStyle w:val="NoSpacing"/>
              <w:rPr>
                <w:lang w:val="en-GB" w:eastAsia="en-GB"/>
              </w:rPr>
            </w:pPr>
            <w:r>
              <w:rPr>
                <w:lang w:val="en-GB" w:eastAsia="en-GB"/>
              </w:rPr>
              <w:t xml:space="preserve">-Review representation across the school </w:t>
            </w:r>
          </w:p>
          <w:p>
            <w:pPr>
              <w:pStyle w:val="NoSpacing"/>
              <w:rPr>
                <w:lang w:val="en-GB" w:eastAsia="en-GB"/>
              </w:rPr>
            </w:pPr>
            <w:r>
              <w:rPr>
                <w:lang w:val="en-GB" w:eastAsia="en-GB"/>
              </w:rPr>
              <w:t>-EDI questionnaire data results (SDBE)</w:t>
            </w:r>
          </w:p>
          <w:p>
            <w:pPr>
              <w:pStyle w:val="NoSpacing"/>
              <w:rPr>
                <w:lang w:val="en-GB" w:eastAsia="en-GB"/>
              </w:rPr>
            </w:pPr>
            <w:r>
              <w:rPr>
                <w:lang w:val="en-GB" w:eastAsia="en-GB"/>
              </w:rPr>
              <w:t>-Parental and carer engagement</w:t>
            </w:r>
          </w:p>
          <w:p>
            <w:pPr>
              <w:pStyle w:val="NoSpacing"/>
              <w:rPr>
                <w:lang w:val="en-GB" w:eastAsia="en-GB"/>
              </w:rPr>
            </w:pPr>
            <w:r>
              <w:rPr>
                <w:lang w:val="en-GB" w:eastAsia="en-GB"/>
              </w:rPr>
              <w:t xml:space="preserve">Consider project with partner school  </w:t>
            </w:r>
          </w:p>
          <w:p>
            <w:pPr>
              <w:pStyle w:val="NoSpacing"/>
              <w:rPr>
                <w:sz w:val="20"/>
                <w:szCs w:val="20"/>
                <w:lang w:val="en-GB" w:eastAsia="en-GB"/>
              </w:rPr>
            </w:pPr>
            <w:r>
              <w:rPr>
                <w:lang w:val="en-GB" w:eastAsia="en-GB"/>
              </w:rPr>
              <w:t>-Governors to work with Pupil ---Parliament to review Anti ----Bullying Policies and Peacemakers’ Charter</w:t>
            </w:r>
            <w:r>
              <w:rPr>
                <w:sz w:val="20"/>
                <w:szCs w:val="20"/>
                <w:lang w:val="en-GB" w:eastAsia="en-GB"/>
              </w:rPr>
              <w:t>.</w:t>
            </w:r>
          </w:p>
          <w:p>
            <w:pPr>
              <w:pStyle w:val="NoSpacing"/>
              <w:rPr>
                <w:sz w:val="20"/>
                <w:szCs w:val="20"/>
                <w:lang w:val="en-GB" w:eastAsia="en-GB"/>
              </w:rPr>
            </w:pPr>
          </w:p>
          <w:p>
            <w:pPr>
              <w:pStyle w:val="NoSpacing"/>
              <w:rPr>
                <w:lang w:val="en-GB" w:eastAsia="en-GB"/>
              </w:rPr>
            </w:pPr>
            <w:r>
              <w:rPr>
                <w:lang w:val="en-GB" w:eastAsia="en-GB"/>
              </w:rPr>
              <w:t xml:space="preserve">To see our new Equality page click on - </w:t>
            </w:r>
            <w:hyperlink r:id="rId15" w:history="1">
              <w:r>
                <w:rPr>
                  <w:rStyle w:val="Hyperlink"/>
                  <w:lang w:val="en-GB" w:eastAsia="en-GB"/>
                </w:rPr>
                <w:t>https://nutfieldchurchprimary.co.uk/equality-objectives/</w:t>
              </w:r>
            </w:hyperlink>
          </w:p>
          <w:p>
            <w:pPr>
              <w:pStyle w:val="NoSpacing"/>
              <w:rPr>
                <w:lang w:val="en-GB" w:eastAsia="en-GB"/>
              </w:rPr>
            </w:pPr>
          </w:p>
          <w:p>
            <w:pPr>
              <w:shd w:val="clear" w:color="auto" w:fill="FFFFFF"/>
              <w:spacing w:after="225" w:line="240" w:lineRule="auto"/>
              <w:rPr>
                <w:rFonts w:asciiTheme="minorHAnsi" w:eastAsia="Times New Roman" w:hAnsiTheme="minorHAnsi" w:cstheme="minorHAnsi"/>
                <w:color w:val="364546"/>
                <w:lang w:val="en-GB" w:eastAsia="en-GB"/>
              </w:rPr>
            </w:pPr>
            <w:r>
              <w:rPr>
                <w:rFonts w:asciiTheme="minorHAnsi" w:eastAsia="Times New Roman" w:hAnsiTheme="minorHAnsi" w:cstheme="minorHAnsi"/>
                <w:b/>
                <w:color w:val="364546"/>
                <w:lang w:val="en-GB" w:eastAsia="en-GB"/>
              </w:rPr>
              <w:t>Pupils’ Teams</w:t>
            </w:r>
          </w:p>
          <w:p>
            <w:pPr>
              <w:shd w:val="clear" w:color="auto" w:fill="FFFFFF"/>
              <w:spacing w:after="225" w:line="240" w:lineRule="auto"/>
              <w:rPr>
                <w:rFonts w:asciiTheme="minorHAnsi" w:eastAsia="Times New Roman" w:hAnsiTheme="minorHAnsi" w:cstheme="minorHAnsi"/>
                <w:color w:val="364546"/>
                <w:lang w:val="en-GB" w:eastAsia="en-GB"/>
              </w:rPr>
            </w:pPr>
            <w:r>
              <w:rPr>
                <w:rFonts w:asciiTheme="minorHAnsi" w:eastAsia="Times New Roman" w:hAnsiTheme="minorHAnsi" w:cstheme="minorHAnsi"/>
                <w:color w:val="364546"/>
                <w:lang w:val="en-GB" w:eastAsia="en-GB"/>
              </w:rPr>
              <w:t xml:space="preserve">We have been promoting the equality and our wider school vision and values through our Pupil Lead teams this term. All Teams have met once and some more so. Key objectives and work plans are in place and pupil voice is positive. </w:t>
            </w:r>
          </w:p>
          <w:p>
            <w:pPr>
              <w:shd w:val="clear" w:color="auto" w:fill="FFFFFF"/>
              <w:spacing w:after="225" w:line="240" w:lineRule="auto"/>
              <w:rPr>
                <w:rFonts w:asciiTheme="minorHAnsi" w:eastAsia="Times New Roman" w:hAnsiTheme="minorHAnsi" w:cstheme="minorHAnsi"/>
                <w:color w:val="364546"/>
                <w:lang w:val="en-GB" w:eastAsia="en-GB"/>
              </w:rPr>
            </w:pPr>
            <w:r>
              <w:rPr>
                <w:rFonts w:asciiTheme="minorHAnsi" w:eastAsia="Times New Roman" w:hAnsiTheme="minorHAnsi" w:cstheme="minorHAnsi"/>
                <w:color w:val="364546"/>
                <w:lang w:val="en-GB" w:eastAsia="en-GB"/>
              </w:rPr>
              <w:t>To see more about our Teams, their ideas and actions this term please click on the links below:</w:t>
            </w:r>
          </w:p>
          <w:p>
            <w:pPr>
              <w:pStyle w:val="NoSpacing"/>
              <w:rPr>
                <w:lang w:val="en-GB" w:eastAsia="en-GB"/>
              </w:rPr>
            </w:pPr>
            <w:r>
              <w:rPr>
                <w:lang w:val="en-GB" w:eastAsia="en-GB"/>
              </w:rPr>
              <w:t xml:space="preserve">Anti Bullying: </w:t>
            </w:r>
            <w:hyperlink r:id="rId16" w:history="1">
              <w:r>
                <w:rPr>
                  <w:rStyle w:val="Hyperlink"/>
                  <w:rFonts w:asciiTheme="minorHAnsi" w:eastAsia="Times New Roman" w:hAnsiTheme="minorHAnsi" w:cstheme="minorHAnsi"/>
                  <w:lang w:val="en-GB" w:eastAsia="en-GB"/>
                </w:rPr>
                <w:t>https://nutfieldchurchprimary.co.uk/anti-bullying-team/</w:t>
              </w:r>
            </w:hyperlink>
          </w:p>
          <w:p>
            <w:pPr>
              <w:pStyle w:val="NoSpacing"/>
              <w:rPr>
                <w:lang w:val="en-GB" w:eastAsia="en-GB"/>
              </w:rPr>
            </w:pPr>
            <w:r>
              <w:rPr>
                <w:lang w:val="en-GB" w:eastAsia="en-GB"/>
              </w:rPr>
              <w:t xml:space="preserve">Eco Team: </w:t>
            </w:r>
            <w:hyperlink r:id="rId17" w:history="1">
              <w:r>
                <w:rPr>
                  <w:rStyle w:val="Hyperlink"/>
                  <w:rFonts w:asciiTheme="minorHAnsi" w:eastAsia="Times New Roman" w:hAnsiTheme="minorHAnsi" w:cstheme="minorHAnsi"/>
                  <w:lang w:val="en-GB" w:eastAsia="en-GB"/>
                </w:rPr>
                <w:t>https://nutfieldchurchprimary.co.uk/the-eco-team/</w:t>
              </w:r>
            </w:hyperlink>
          </w:p>
          <w:p>
            <w:pPr>
              <w:pStyle w:val="NoSpacing"/>
              <w:rPr>
                <w:lang w:val="en-GB" w:eastAsia="en-GB"/>
              </w:rPr>
            </w:pPr>
            <w:r>
              <w:rPr>
                <w:lang w:val="en-GB" w:eastAsia="en-GB"/>
              </w:rPr>
              <w:t xml:space="preserve">Faith Team: </w:t>
            </w:r>
            <w:hyperlink r:id="rId18" w:history="1">
              <w:r>
                <w:rPr>
                  <w:rStyle w:val="Hyperlink"/>
                  <w:rFonts w:asciiTheme="minorHAnsi" w:eastAsia="Times New Roman" w:hAnsiTheme="minorHAnsi" w:cstheme="minorHAnsi"/>
                  <w:lang w:val="en-GB" w:eastAsia="en-GB"/>
                </w:rPr>
                <w:t>https://nutfieldchurchprimary.co.uk/our-faith-team/</w:t>
              </w:r>
            </w:hyperlink>
          </w:p>
          <w:p>
            <w:pPr>
              <w:pStyle w:val="NoSpacing"/>
              <w:rPr>
                <w:sz w:val="20"/>
                <w:szCs w:val="20"/>
                <w:lang w:val="en-GB" w:eastAsia="en-GB"/>
              </w:rPr>
            </w:pPr>
            <w:r>
              <w:rPr>
                <w:lang w:val="en-GB" w:eastAsia="en-GB"/>
              </w:rPr>
              <w:t xml:space="preserve">Pupil Parliament: </w:t>
            </w:r>
            <w:hyperlink r:id="rId19" w:history="1">
              <w:r>
                <w:rPr>
                  <w:rStyle w:val="Hyperlink"/>
                  <w:rFonts w:asciiTheme="minorHAnsi" w:eastAsia="Times New Roman" w:hAnsiTheme="minorHAnsi" w:cstheme="minorHAnsi"/>
                  <w:lang w:val="en-GB" w:eastAsia="en-GB"/>
                </w:rPr>
                <w:t>https://nutfieldchurchprimary.co.uk/pupil-parliament/</w:t>
              </w:r>
            </w:hyperlink>
          </w:p>
        </w:tc>
      </w:tr>
    </w:tbl>
    <w:p>
      <w:pPr>
        <w:rPr>
          <w:rFonts w:asciiTheme="minorHAnsi" w:hAnsiTheme="minorHAnsi" w:cstheme="minorHAnsi"/>
          <w:strike/>
        </w:rPr>
      </w:pPr>
    </w:p>
    <w:tbl>
      <w:tblPr>
        <w:tblStyle w:val="TableGrid"/>
        <w:tblW w:w="0" w:type="auto"/>
        <w:tblLook w:val="04A0" w:firstRow="1" w:lastRow="0" w:firstColumn="1" w:lastColumn="0" w:noHBand="0" w:noVBand="1"/>
      </w:tblPr>
      <w:tblGrid>
        <w:gridCol w:w="9016"/>
      </w:tblGrid>
      <w:tr>
        <w:tc>
          <w:tcPr>
            <w:tcW w:w="9016" w:type="dxa"/>
            <w:shd w:val="clear" w:color="auto" w:fill="FFC000"/>
          </w:tcPr>
          <w:p>
            <w:pPr>
              <w:rPr>
                <w:rFonts w:asciiTheme="minorHAnsi" w:hAnsiTheme="minorHAnsi" w:cstheme="minorHAnsi"/>
              </w:rPr>
            </w:pPr>
            <w:r>
              <w:rPr>
                <w:rFonts w:asciiTheme="minorHAnsi" w:hAnsiTheme="minorHAnsi" w:cstheme="minorHAnsi"/>
                <w:b/>
              </w:rPr>
              <w:t>Fire Alarm / Lockdown</w:t>
            </w:r>
          </w:p>
        </w:tc>
      </w:tr>
      <w:tr>
        <w:trPr>
          <w:trHeight w:val="5759"/>
        </w:trPr>
        <w:tc>
          <w:tcPr>
            <w:tcW w:w="9016" w:type="dxa"/>
          </w:tcPr>
          <w:p>
            <w:pPr>
              <w:spacing w:after="4" w:line="249" w:lineRule="auto"/>
              <w:rPr>
                <w:rFonts w:asciiTheme="minorHAnsi" w:hAnsiTheme="minorHAnsi" w:cstheme="minorHAnsi"/>
              </w:rPr>
            </w:pPr>
            <w:r>
              <w:rPr>
                <w:rFonts w:asciiTheme="minorHAnsi" w:hAnsiTheme="minorHAnsi" w:cstheme="minorHAnsi"/>
              </w:rPr>
              <w:t>Wednesday 21st September 2022</w:t>
            </w:r>
          </w:p>
          <w:p>
            <w:pPr>
              <w:spacing w:after="4" w:line="249" w:lineRule="auto"/>
              <w:rPr>
                <w:rFonts w:asciiTheme="minorHAnsi" w:hAnsiTheme="minorHAnsi" w:cstheme="minorHAnsi"/>
              </w:rPr>
            </w:pPr>
            <w:r>
              <w:rPr>
                <w:rFonts w:asciiTheme="minorHAnsi" w:hAnsiTheme="minorHAnsi" w:cstheme="minorHAnsi"/>
              </w:rPr>
              <w:t>at 2:02pm</w:t>
            </w:r>
          </w:p>
          <w:p>
            <w:pPr>
              <w:spacing w:after="4" w:line="249" w:lineRule="auto"/>
              <w:rPr>
                <w:rFonts w:asciiTheme="minorHAnsi" w:hAnsiTheme="minorHAnsi" w:cstheme="minorHAnsi"/>
                <w:strike/>
              </w:rPr>
            </w:pPr>
          </w:p>
          <w:p>
            <w:pPr>
              <w:spacing w:after="4" w:line="249" w:lineRule="auto"/>
              <w:rPr>
                <w:rFonts w:asciiTheme="minorHAnsi" w:hAnsiTheme="minorHAnsi" w:cstheme="minorHAnsi"/>
              </w:rPr>
            </w:pPr>
            <w:r>
              <w:rPr>
                <w:rFonts w:asciiTheme="minorHAnsi" w:hAnsiTheme="minorHAnsi" w:cstheme="minorHAnsi"/>
              </w:rPr>
              <w:t>All at fire assembly point lined up, registers checked and called in 2 minutes 35 secs.</w:t>
            </w:r>
          </w:p>
          <w:p>
            <w:pPr>
              <w:spacing w:after="4" w:line="249" w:lineRule="auto"/>
              <w:rPr>
                <w:rFonts w:asciiTheme="minorHAnsi" w:hAnsiTheme="minorHAnsi" w:cstheme="minorHAnsi"/>
              </w:rPr>
            </w:pPr>
            <w:r>
              <w:rPr>
                <w:rFonts w:asciiTheme="minorHAnsi" w:hAnsiTheme="minorHAnsi" w:cstheme="minorHAnsi"/>
              </w:rPr>
              <w:t>Children quiet.</w:t>
            </w:r>
          </w:p>
          <w:p>
            <w:pPr>
              <w:spacing w:after="4" w:line="249" w:lineRule="auto"/>
              <w:rPr>
                <w:rFonts w:asciiTheme="minorHAnsi" w:hAnsiTheme="minorHAnsi" w:cstheme="minorHAnsi"/>
              </w:rPr>
            </w:pPr>
            <w:r>
              <w:rPr>
                <w:rFonts w:asciiTheme="minorHAnsi" w:hAnsiTheme="minorHAnsi" w:cstheme="minorHAnsi"/>
              </w:rPr>
              <w:t>Years R and 1 were not lined up further towards the field so had to move along to ensure the lower school are a further distance away from the school building.</w:t>
            </w:r>
          </w:p>
          <w:p>
            <w:pPr>
              <w:spacing w:after="4" w:line="249" w:lineRule="auto"/>
              <w:rPr>
                <w:rFonts w:asciiTheme="minorHAnsi" w:hAnsiTheme="minorHAnsi" w:cstheme="minorHAnsi"/>
              </w:rPr>
            </w:pPr>
          </w:p>
          <w:p>
            <w:pPr>
              <w:spacing w:after="4" w:line="249" w:lineRule="auto"/>
              <w:rPr>
                <w:rFonts w:asciiTheme="minorHAnsi" w:hAnsiTheme="minorHAnsi" w:cstheme="minorHAnsi"/>
              </w:rPr>
            </w:pPr>
            <w:r>
              <w:rPr>
                <w:rFonts w:asciiTheme="minorHAnsi" w:hAnsiTheme="minorHAnsi" w:cstheme="minorHAnsi"/>
              </w:rPr>
              <w:t>As the new School Office Assistant, Carmela, finishes at 1pm (Monday to Thursday) she was not present for the drill. Serena carried out the lower schools checks in her absence and Serena’s usual role of handing out registers was passed to Imogen.</w:t>
            </w:r>
          </w:p>
          <w:p>
            <w:pPr>
              <w:spacing w:after="4" w:line="249" w:lineRule="auto"/>
              <w:rPr>
                <w:rFonts w:asciiTheme="minorHAnsi" w:hAnsiTheme="minorHAnsi" w:cstheme="minorHAnsi"/>
              </w:rPr>
            </w:pPr>
          </w:p>
          <w:p>
            <w:pPr>
              <w:spacing w:after="4" w:line="249" w:lineRule="auto"/>
              <w:rPr>
                <w:rFonts w:asciiTheme="minorHAnsi" w:hAnsiTheme="minorHAnsi" w:cstheme="minorHAnsi"/>
              </w:rPr>
            </w:pPr>
            <w:r>
              <w:rPr>
                <w:rFonts w:asciiTheme="minorHAnsi" w:hAnsiTheme="minorHAnsi" w:cstheme="minorHAnsi"/>
              </w:rPr>
              <w:t xml:space="preserve">In the unlikely event of the fire alarm going off when both Carmela and Imogen are not around, Serena would </w:t>
            </w:r>
            <w:proofErr w:type="spellStart"/>
            <w:r>
              <w:rPr>
                <w:rFonts w:asciiTheme="minorHAnsi" w:hAnsiTheme="minorHAnsi" w:cstheme="minorHAnsi"/>
              </w:rPr>
              <w:t>prioritise</w:t>
            </w:r>
            <w:proofErr w:type="spellEnd"/>
            <w:r>
              <w:rPr>
                <w:rFonts w:asciiTheme="minorHAnsi" w:hAnsiTheme="minorHAnsi" w:cstheme="minorHAnsi"/>
              </w:rPr>
              <w:t xml:space="preserve"> handing out the registers and Daniel would sweep the whole building, not just the upper school as he usually does during fire drills.</w:t>
            </w:r>
          </w:p>
          <w:p>
            <w:pPr>
              <w:spacing w:after="4" w:line="249" w:lineRule="auto"/>
              <w:rPr>
                <w:rFonts w:asciiTheme="minorHAnsi" w:hAnsiTheme="minorHAnsi" w:cstheme="minorHAnsi"/>
              </w:rPr>
            </w:pPr>
          </w:p>
          <w:p>
            <w:pPr>
              <w:spacing w:after="4" w:line="249" w:lineRule="auto"/>
              <w:rPr>
                <w:rFonts w:asciiTheme="minorHAnsi" w:hAnsiTheme="minorHAnsi" w:cstheme="minorHAnsi"/>
              </w:rPr>
            </w:pPr>
            <w:r>
              <w:rPr>
                <w:rFonts w:asciiTheme="minorHAnsi" w:hAnsiTheme="minorHAnsi" w:cstheme="minorHAnsi"/>
              </w:rPr>
              <w:t>Actions:</w:t>
            </w:r>
          </w:p>
          <w:p>
            <w:pPr>
              <w:spacing w:after="4" w:line="249" w:lineRule="auto"/>
              <w:rPr>
                <w:rFonts w:asciiTheme="minorHAnsi" w:hAnsiTheme="minorHAnsi" w:cstheme="minorHAnsi"/>
              </w:rPr>
            </w:pPr>
            <w:proofErr w:type="gramStart"/>
            <w:r>
              <w:rPr>
                <w:rFonts w:asciiTheme="minorHAnsi" w:hAnsiTheme="minorHAnsi" w:cstheme="minorHAnsi"/>
              </w:rPr>
              <w:t>1.Class</w:t>
            </w:r>
            <w:proofErr w:type="gramEnd"/>
            <w:r>
              <w:rPr>
                <w:rFonts w:asciiTheme="minorHAnsi" w:hAnsiTheme="minorHAnsi" w:cstheme="minorHAnsi"/>
              </w:rPr>
              <w:t xml:space="preserve"> Teachers to bring their own class list on any evacuation/lock down.</w:t>
            </w:r>
          </w:p>
          <w:p>
            <w:pPr>
              <w:spacing w:after="4" w:line="249" w:lineRule="auto"/>
              <w:rPr>
                <w:rFonts w:asciiTheme="minorHAnsi" w:hAnsiTheme="minorHAnsi" w:cstheme="minorHAnsi"/>
              </w:rPr>
            </w:pPr>
            <w:proofErr w:type="gramStart"/>
            <w:r>
              <w:rPr>
                <w:rFonts w:asciiTheme="minorHAnsi" w:hAnsiTheme="minorHAnsi" w:cstheme="minorHAnsi"/>
              </w:rPr>
              <w:t>2.Years</w:t>
            </w:r>
            <w:proofErr w:type="gramEnd"/>
            <w:r>
              <w:rPr>
                <w:rFonts w:asciiTheme="minorHAnsi" w:hAnsiTheme="minorHAnsi" w:cstheme="minorHAnsi"/>
              </w:rPr>
              <w:t xml:space="preserve"> R and 1 to line up closer to the field, on the playground away from the school building.</w:t>
            </w:r>
          </w:p>
          <w:p>
            <w:pPr>
              <w:spacing w:after="4" w:line="249" w:lineRule="auto"/>
              <w:rPr>
                <w:rFonts w:asciiTheme="minorHAnsi" w:hAnsiTheme="minorHAnsi" w:cstheme="minorHAnsi"/>
              </w:rPr>
            </w:pPr>
            <w:r>
              <w:rPr>
                <w:rFonts w:asciiTheme="minorHAnsi" w:hAnsiTheme="minorHAnsi" w:cstheme="minorHAnsi"/>
              </w:rPr>
              <w:t xml:space="preserve">3. Set lockdown </w:t>
            </w:r>
            <w:proofErr w:type="spellStart"/>
            <w:r>
              <w:rPr>
                <w:rFonts w:asciiTheme="minorHAnsi" w:hAnsiTheme="minorHAnsi" w:cstheme="minorHAnsi"/>
              </w:rPr>
              <w:t>practise</w:t>
            </w:r>
            <w:proofErr w:type="spellEnd"/>
            <w:r>
              <w:rPr>
                <w:rFonts w:asciiTheme="minorHAnsi" w:hAnsiTheme="minorHAnsi" w:cstheme="minorHAnsi"/>
              </w:rPr>
              <w:t xml:space="preserve"> date</w:t>
            </w:r>
          </w:p>
        </w:tc>
      </w:tr>
    </w:tbl>
    <w:p>
      <w:pPr>
        <w:rPr>
          <w:strike/>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06C4B"/>
    <w:multiLevelType w:val="multilevel"/>
    <w:tmpl w:val="8F32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914682"/>
    <w:multiLevelType w:val="multilevel"/>
    <w:tmpl w:val="46DA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421CC9"/>
    <w:multiLevelType w:val="multilevel"/>
    <w:tmpl w:val="1B864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0408A8"/>
    <w:multiLevelType w:val="multilevel"/>
    <w:tmpl w:val="AAB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282F96"/>
    <w:multiLevelType w:val="hybridMultilevel"/>
    <w:tmpl w:val="72FC93A0"/>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1BBE0-04C4-4D2C-AD6D-0DA0CA28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pPr>
      <w:keepNext/>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b/>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after="0" w:line="240" w:lineRule="auto"/>
    </w:pPr>
    <w:rPr>
      <w:rFonts w:ascii="Times New Roman" w:hAnsi="Times New Roman"/>
      <w:sz w:val="24"/>
      <w:szCs w:val="24"/>
      <w:lang w:val="en-GB" w:eastAsia="en-GB"/>
    </w:rPr>
  </w:style>
  <w:style w:type="character" w:customStyle="1" w:styleId="Heading4Char">
    <w:name w:val="Heading 4 Char"/>
    <w:basedOn w:val="DefaultParagraphFont"/>
    <w:link w:val="Heading4"/>
    <w:rPr>
      <w:rFonts w:ascii="Times New Roman" w:eastAsia="Times New Roman" w:hAnsi="Times New Roman" w:cs="Times New Roman"/>
      <w:b/>
      <w:sz w:val="24"/>
      <w:szCs w:val="20"/>
      <w:lang w:eastAsia="en-GB"/>
    </w:rPr>
  </w:style>
  <w:style w:type="paragraph" w:customStyle="1" w:styleId="Default">
    <w:name w:val="Default"/>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en-US"/>
    </w:rPr>
  </w:style>
  <w:style w:type="paragraph" w:styleId="NoSpacing">
    <w:name w:val="No Spacing"/>
    <w:uiPriority w:val="1"/>
    <w:qFormat/>
    <w:pPr>
      <w:spacing w:after="0" w:line="240" w:lineRule="auto"/>
    </w:pPr>
    <w:rPr>
      <w:rFonts w:ascii="Calibri" w:eastAsia="Calibri" w:hAnsi="Calibri" w:cs="Times New Roman"/>
      <w:lang w:val="en-US"/>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1212">
      <w:bodyDiv w:val="1"/>
      <w:marLeft w:val="0"/>
      <w:marRight w:val="0"/>
      <w:marTop w:val="0"/>
      <w:marBottom w:val="0"/>
      <w:divBdr>
        <w:top w:val="none" w:sz="0" w:space="0" w:color="auto"/>
        <w:left w:val="none" w:sz="0" w:space="0" w:color="auto"/>
        <w:bottom w:val="none" w:sz="0" w:space="0" w:color="auto"/>
        <w:right w:val="none" w:sz="0" w:space="0" w:color="auto"/>
      </w:divBdr>
    </w:div>
    <w:div w:id="21900768">
      <w:bodyDiv w:val="1"/>
      <w:marLeft w:val="0"/>
      <w:marRight w:val="0"/>
      <w:marTop w:val="0"/>
      <w:marBottom w:val="0"/>
      <w:divBdr>
        <w:top w:val="none" w:sz="0" w:space="0" w:color="auto"/>
        <w:left w:val="none" w:sz="0" w:space="0" w:color="auto"/>
        <w:bottom w:val="none" w:sz="0" w:space="0" w:color="auto"/>
        <w:right w:val="none" w:sz="0" w:space="0" w:color="auto"/>
      </w:divBdr>
    </w:div>
    <w:div w:id="89203756">
      <w:bodyDiv w:val="1"/>
      <w:marLeft w:val="0"/>
      <w:marRight w:val="0"/>
      <w:marTop w:val="0"/>
      <w:marBottom w:val="0"/>
      <w:divBdr>
        <w:top w:val="none" w:sz="0" w:space="0" w:color="auto"/>
        <w:left w:val="none" w:sz="0" w:space="0" w:color="auto"/>
        <w:bottom w:val="none" w:sz="0" w:space="0" w:color="auto"/>
        <w:right w:val="none" w:sz="0" w:space="0" w:color="auto"/>
      </w:divBdr>
    </w:div>
    <w:div w:id="265042575">
      <w:bodyDiv w:val="1"/>
      <w:marLeft w:val="0"/>
      <w:marRight w:val="0"/>
      <w:marTop w:val="0"/>
      <w:marBottom w:val="0"/>
      <w:divBdr>
        <w:top w:val="none" w:sz="0" w:space="0" w:color="auto"/>
        <w:left w:val="none" w:sz="0" w:space="0" w:color="auto"/>
        <w:bottom w:val="none" w:sz="0" w:space="0" w:color="auto"/>
        <w:right w:val="none" w:sz="0" w:space="0" w:color="auto"/>
      </w:divBdr>
      <w:divsChild>
        <w:div w:id="2062900631">
          <w:marLeft w:val="0"/>
          <w:marRight w:val="0"/>
          <w:marTop w:val="0"/>
          <w:marBottom w:val="0"/>
          <w:divBdr>
            <w:top w:val="none" w:sz="0" w:space="0" w:color="auto"/>
            <w:left w:val="none" w:sz="0" w:space="0" w:color="auto"/>
            <w:bottom w:val="none" w:sz="0" w:space="0" w:color="auto"/>
            <w:right w:val="none" w:sz="0" w:space="0" w:color="auto"/>
          </w:divBdr>
        </w:div>
      </w:divsChild>
    </w:div>
    <w:div w:id="270942498">
      <w:bodyDiv w:val="1"/>
      <w:marLeft w:val="0"/>
      <w:marRight w:val="0"/>
      <w:marTop w:val="0"/>
      <w:marBottom w:val="0"/>
      <w:divBdr>
        <w:top w:val="none" w:sz="0" w:space="0" w:color="auto"/>
        <w:left w:val="none" w:sz="0" w:space="0" w:color="auto"/>
        <w:bottom w:val="none" w:sz="0" w:space="0" w:color="auto"/>
        <w:right w:val="none" w:sz="0" w:space="0" w:color="auto"/>
      </w:divBdr>
    </w:div>
    <w:div w:id="854003120">
      <w:bodyDiv w:val="1"/>
      <w:marLeft w:val="0"/>
      <w:marRight w:val="0"/>
      <w:marTop w:val="0"/>
      <w:marBottom w:val="0"/>
      <w:divBdr>
        <w:top w:val="none" w:sz="0" w:space="0" w:color="auto"/>
        <w:left w:val="none" w:sz="0" w:space="0" w:color="auto"/>
        <w:bottom w:val="none" w:sz="0" w:space="0" w:color="auto"/>
        <w:right w:val="none" w:sz="0" w:space="0" w:color="auto"/>
      </w:divBdr>
    </w:div>
    <w:div w:id="856504667">
      <w:bodyDiv w:val="1"/>
      <w:marLeft w:val="0"/>
      <w:marRight w:val="0"/>
      <w:marTop w:val="0"/>
      <w:marBottom w:val="0"/>
      <w:divBdr>
        <w:top w:val="none" w:sz="0" w:space="0" w:color="auto"/>
        <w:left w:val="none" w:sz="0" w:space="0" w:color="auto"/>
        <w:bottom w:val="none" w:sz="0" w:space="0" w:color="auto"/>
        <w:right w:val="none" w:sz="0" w:space="0" w:color="auto"/>
      </w:divBdr>
      <w:divsChild>
        <w:div w:id="915748599">
          <w:marLeft w:val="0"/>
          <w:marRight w:val="0"/>
          <w:marTop w:val="0"/>
          <w:marBottom w:val="0"/>
          <w:divBdr>
            <w:top w:val="none" w:sz="0" w:space="0" w:color="auto"/>
            <w:left w:val="none" w:sz="0" w:space="0" w:color="auto"/>
            <w:bottom w:val="none" w:sz="0" w:space="0" w:color="auto"/>
            <w:right w:val="none" w:sz="0" w:space="0" w:color="auto"/>
          </w:divBdr>
        </w:div>
      </w:divsChild>
    </w:div>
    <w:div w:id="1011758699">
      <w:bodyDiv w:val="1"/>
      <w:marLeft w:val="0"/>
      <w:marRight w:val="0"/>
      <w:marTop w:val="0"/>
      <w:marBottom w:val="0"/>
      <w:divBdr>
        <w:top w:val="none" w:sz="0" w:space="0" w:color="auto"/>
        <w:left w:val="none" w:sz="0" w:space="0" w:color="auto"/>
        <w:bottom w:val="none" w:sz="0" w:space="0" w:color="auto"/>
        <w:right w:val="none" w:sz="0" w:space="0" w:color="auto"/>
      </w:divBdr>
      <w:divsChild>
        <w:div w:id="699090232">
          <w:marLeft w:val="0"/>
          <w:marRight w:val="0"/>
          <w:marTop w:val="480"/>
          <w:marBottom w:val="480"/>
          <w:divBdr>
            <w:top w:val="none" w:sz="0" w:space="0" w:color="auto"/>
            <w:left w:val="none" w:sz="0" w:space="0" w:color="auto"/>
            <w:bottom w:val="none" w:sz="0" w:space="0" w:color="auto"/>
            <w:right w:val="none" w:sz="0" w:space="0" w:color="auto"/>
          </w:divBdr>
        </w:div>
      </w:divsChild>
    </w:div>
    <w:div w:id="1039624260">
      <w:bodyDiv w:val="1"/>
      <w:marLeft w:val="0"/>
      <w:marRight w:val="0"/>
      <w:marTop w:val="0"/>
      <w:marBottom w:val="0"/>
      <w:divBdr>
        <w:top w:val="none" w:sz="0" w:space="0" w:color="auto"/>
        <w:left w:val="none" w:sz="0" w:space="0" w:color="auto"/>
        <w:bottom w:val="none" w:sz="0" w:space="0" w:color="auto"/>
        <w:right w:val="none" w:sz="0" w:space="0" w:color="auto"/>
      </w:divBdr>
    </w:div>
    <w:div w:id="1480608111">
      <w:bodyDiv w:val="1"/>
      <w:marLeft w:val="0"/>
      <w:marRight w:val="0"/>
      <w:marTop w:val="0"/>
      <w:marBottom w:val="0"/>
      <w:divBdr>
        <w:top w:val="none" w:sz="0" w:space="0" w:color="auto"/>
        <w:left w:val="none" w:sz="0" w:space="0" w:color="auto"/>
        <w:bottom w:val="none" w:sz="0" w:space="0" w:color="auto"/>
        <w:right w:val="none" w:sz="0" w:space="0" w:color="auto"/>
      </w:divBdr>
    </w:div>
    <w:div w:id="1813281271">
      <w:bodyDiv w:val="1"/>
      <w:marLeft w:val="0"/>
      <w:marRight w:val="0"/>
      <w:marTop w:val="0"/>
      <w:marBottom w:val="0"/>
      <w:divBdr>
        <w:top w:val="none" w:sz="0" w:space="0" w:color="auto"/>
        <w:left w:val="none" w:sz="0" w:space="0" w:color="auto"/>
        <w:bottom w:val="none" w:sz="0" w:space="0" w:color="auto"/>
        <w:right w:val="none" w:sz="0" w:space="0" w:color="auto"/>
      </w:divBdr>
    </w:div>
    <w:div w:id="183441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ducation-inspection-framework/education-inspection-framework" TargetMode="External"/><Relationship Id="rId13" Type="http://schemas.openxmlformats.org/officeDocument/2006/relationships/hyperlink" Target="https://reports.ofsted.gov.uk/provider/21/125194" TargetMode="External"/><Relationship Id="rId18" Type="http://schemas.openxmlformats.org/officeDocument/2006/relationships/hyperlink" Target="https://nutfieldchurchprimary.co.uk/our-faith-tea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hyperlink" Target="https://reports.ofsted.gov.uk/provider/21/125197" TargetMode="External"/><Relationship Id="rId17" Type="http://schemas.openxmlformats.org/officeDocument/2006/relationships/hyperlink" Target="https://nutfieldchurchprimary.co.uk/the-eco-team/" TargetMode="External"/><Relationship Id="rId2" Type="http://schemas.openxmlformats.org/officeDocument/2006/relationships/styles" Target="styles.xml"/><Relationship Id="rId16" Type="http://schemas.openxmlformats.org/officeDocument/2006/relationships/hyperlink" Target="https://nutfieldchurchprimary.co.uk/anti-bullying-te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reports.ofsted.gov.uk/provider/21/144994" TargetMode="External"/><Relationship Id="rId5" Type="http://schemas.openxmlformats.org/officeDocument/2006/relationships/hyperlink" Target="http://nutfieldprimary.co.uk/" TargetMode="External"/><Relationship Id="rId15" Type="http://schemas.openxmlformats.org/officeDocument/2006/relationships/hyperlink" Target="https://nutfieldchurchprimary.co.uk/equality-objectives/" TargetMode="External"/><Relationship Id="rId10" Type="http://schemas.openxmlformats.org/officeDocument/2006/relationships/hyperlink" Target="https://reports.ofsted.gov.uk/provider/21/125193" TargetMode="External"/><Relationship Id="rId19" Type="http://schemas.openxmlformats.org/officeDocument/2006/relationships/hyperlink" Target="https://nutfieldchurchprimary.co.uk/pupil-parliament/" TargetMode="External"/><Relationship Id="rId4" Type="http://schemas.openxmlformats.org/officeDocument/2006/relationships/webSettings" Target="webSettings.xml"/><Relationship Id="rId9" Type="http://schemas.openxmlformats.org/officeDocument/2006/relationships/hyperlink" Target="https://www.gov.uk/government/publications/education-inspection-framework/summary-of-chang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2206</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Nutfield Church Primary School Office</cp:lastModifiedBy>
  <cp:revision>2</cp:revision>
  <dcterms:created xsi:type="dcterms:W3CDTF">2022-11-21T14:02:00Z</dcterms:created>
  <dcterms:modified xsi:type="dcterms:W3CDTF">2022-11-21T14:02:00Z</dcterms:modified>
</cp:coreProperties>
</file>