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Theme="minorHAnsi" w:hAnsiTheme="minorHAnsi" w:cstheme="minorHAnsi"/>
          <w:b/>
        </w:rPr>
      </w:pPr>
      <w:r>
        <w:t xml:space="preserve">                                                                                                                                                     </w:t>
      </w:r>
      <w:r>
        <w:rPr>
          <w:rFonts w:asciiTheme="minorHAnsi" w:hAnsiTheme="minorHAnsi" w:cstheme="minorHAnsi"/>
          <w:b/>
        </w:rPr>
        <w:t>Nutfield Church (C of E) Primary School</w:t>
      </w:r>
    </w:p>
    <w:p>
      <w:pPr>
        <w:jc w:val="center"/>
        <w:rPr>
          <w:rFonts w:asciiTheme="minorHAnsi" w:hAnsiTheme="minorHAnsi" w:cstheme="minorHAnsi"/>
          <w:b/>
          <w:color w:val="FF0000"/>
        </w:rPr>
      </w:pPr>
      <w:r>
        <w:rPr>
          <w:b/>
          <w:i/>
          <w:noProof/>
          <w:sz w:val="48"/>
          <w:szCs w:val="48"/>
          <w:lang w:eastAsia="en-GB"/>
        </w:rPr>
        <w:drawing>
          <wp:inline distT="0" distB="0" distL="0" distR="0">
            <wp:extent cx="657225" cy="638175"/>
            <wp:effectExtent l="0" t="0" r="0" b="9525"/>
            <wp:docPr id="2"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657225" cy="638175"/>
                    </a:xfrm>
                    <a:prstGeom prst="rect">
                      <a:avLst/>
                    </a:prstGeom>
                    <a:noFill/>
                    <a:ln>
                      <a:noFill/>
                    </a:ln>
                  </pic:spPr>
                </pic:pic>
              </a:graphicData>
            </a:graphic>
          </wp:inline>
        </w:drawing>
      </w:r>
    </w:p>
    <w:p>
      <w:pPr>
        <w:spacing w:after="120" w:line="240" w:lineRule="auto"/>
        <w:jc w:val="center"/>
        <w:rPr>
          <w:b/>
        </w:rPr>
      </w:pPr>
      <w:r>
        <w:rPr>
          <w:b/>
        </w:rPr>
        <w:t>REGISTER OF INTERESTS</w:t>
      </w:r>
    </w:p>
    <w:tbl>
      <w:tblPr>
        <w:tblStyle w:val="TableGrid"/>
        <w:tblW w:w="0" w:type="auto"/>
        <w:tblLook w:val="04A0" w:firstRow="1" w:lastRow="0" w:firstColumn="1" w:lastColumn="0" w:noHBand="0" w:noVBand="1"/>
      </w:tblPr>
      <w:tblGrid>
        <w:gridCol w:w="4503"/>
        <w:gridCol w:w="4739"/>
      </w:tblGrid>
      <w:tr>
        <w:tc>
          <w:tcPr>
            <w:tcW w:w="4503" w:type="dxa"/>
            <w:shd w:val="clear" w:color="auto" w:fill="D9D9D9" w:themeFill="background1" w:themeFillShade="D9"/>
          </w:tcPr>
          <w:p>
            <w:pPr>
              <w:spacing w:after="120"/>
              <w:rPr>
                <w:sz w:val="22"/>
                <w:szCs w:val="22"/>
              </w:rPr>
            </w:pPr>
            <w:r>
              <w:rPr>
                <w:sz w:val="22"/>
                <w:szCs w:val="22"/>
              </w:rPr>
              <w:t>Full Name</w:t>
            </w:r>
          </w:p>
        </w:tc>
        <w:tc>
          <w:tcPr>
            <w:tcW w:w="4739" w:type="dxa"/>
          </w:tcPr>
          <w:p>
            <w:pPr>
              <w:spacing w:after="120"/>
              <w:jc w:val="center"/>
              <w:rPr>
                <w:b/>
              </w:rPr>
            </w:pPr>
          </w:p>
        </w:tc>
      </w:tr>
      <w:tr>
        <w:tc>
          <w:tcPr>
            <w:tcW w:w="9242" w:type="dxa"/>
            <w:gridSpan w:val="2"/>
          </w:tcPr>
          <w:p>
            <w:pPr>
              <w:spacing w:after="120"/>
              <w:jc w:val="both"/>
              <w:rPr>
                <w:b/>
                <w:sz w:val="22"/>
                <w:szCs w:val="22"/>
              </w:rPr>
            </w:pPr>
            <w:r>
              <w:rPr>
                <w:b/>
                <w:sz w:val="22"/>
                <w:szCs w:val="22"/>
              </w:rPr>
              <w:t>I, the above named of Nutfield Church (C of E) Primary School</w:t>
            </w:r>
            <w:r>
              <w:rPr>
                <w:b/>
                <w:color w:val="4F81BD" w:themeColor="accent1"/>
                <w:sz w:val="22"/>
                <w:szCs w:val="22"/>
              </w:rPr>
              <w:t xml:space="preserve"> </w:t>
            </w:r>
            <w:r>
              <w:rPr>
                <w:b/>
                <w:sz w:val="22"/>
                <w:szCs w:val="22"/>
              </w:rPr>
              <w:t>give notice that I have set out below under the appropriate headings my interests and I have put “none” where I have no such interests under any heading. If there are any changes to my circumstances, I will advise the Clerk accordingly.</w:t>
            </w:r>
          </w:p>
        </w:tc>
      </w:tr>
      <w:tr>
        <w:tc>
          <w:tcPr>
            <w:tcW w:w="4503" w:type="dxa"/>
            <w:shd w:val="clear" w:color="auto" w:fill="D9D9D9" w:themeFill="background1" w:themeFillShade="D9"/>
          </w:tcPr>
          <w:p>
            <w:pPr>
              <w:spacing w:after="120"/>
              <w:jc w:val="both"/>
              <w:rPr>
                <w:b/>
                <w:sz w:val="20"/>
                <w:szCs w:val="20"/>
              </w:rPr>
            </w:pPr>
            <w:r>
              <w:rPr>
                <w:b/>
                <w:sz w:val="20"/>
                <w:szCs w:val="20"/>
              </w:rPr>
              <w:t>Employer: name, address and nature of business</w:t>
            </w:r>
          </w:p>
          <w:p>
            <w:pPr>
              <w:spacing w:after="120"/>
              <w:jc w:val="both"/>
              <w:rPr>
                <w:i/>
                <w:sz w:val="20"/>
                <w:szCs w:val="20"/>
              </w:rPr>
            </w:pPr>
            <w:r>
              <w:rPr>
                <w:i/>
                <w:sz w:val="20"/>
                <w:szCs w:val="20"/>
              </w:rPr>
              <w:t>If self-employed, please state name and nature of business</w:t>
            </w:r>
          </w:p>
        </w:tc>
        <w:tc>
          <w:tcPr>
            <w:tcW w:w="4739" w:type="dxa"/>
          </w:tcPr>
          <w:p>
            <w:pPr>
              <w:spacing w:after="120"/>
              <w:jc w:val="center"/>
              <w:rPr>
                <w:b/>
              </w:rPr>
            </w:pPr>
          </w:p>
        </w:tc>
      </w:tr>
      <w:tr>
        <w:tc>
          <w:tcPr>
            <w:tcW w:w="4503" w:type="dxa"/>
            <w:shd w:val="clear" w:color="auto" w:fill="D9D9D9" w:themeFill="background1" w:themeFillShade="D9"/>
          </w:tcPr>
          <w:p>
            <w:pPr>
              <w:spacing w:after="120"/>
              <w:jc w:val="both"/>
              <w:rPr>
                <w:b/>
                <w:sz w:val="20"/>
                <w:szCs w:val="20"/>
              </w:rPr>
            </w:pPr>
            <w:r>
              <w:rPr>
                <w:b/>
                <w:sz w:val="20"/>
                <w:szCs w:val="20"/>
              </w:rPr>
              <w:t>Relationship to members of staff or governing body members</w:t>
            </w:r>
          </w:p>
        </w:tc>
        <w:tc>
          <w:tcPr>
            <w:tcW w:w="4739" w:type="dxa"/>
          </w:tcPr>
          <w:p>
            <w:pPr>
              <w:spacing w:after="120"/>
              <w:jc w:val="center"/>
              <w:rPr>
                <w:b/>
              </w:rPr>
            </w:pPr>
          </w:p>
        </w:tc>
      </w:tr>
      <w:tr>
        <w:tc>
          <w:tcPr>
            <w:tcW w:w="4503" w:type="dxa"/>
            <w:shd w:val="clear" w:color="auto" w:fill="D9D9D9" w:themeFill="background1" w:themeFillShade="D9"/>
          </w:tcPr>
          <w:p>
            <w:pPr>
              <w:spacing w:after="120"/>
              <w:jc w:val="both"/>
              <w:rPr>
                <w:b/>
                <w:sz w:val="20"/>
                <w:szCs w:val="20"/>
              </w:rPr>
            </w:pPr>
            <w:r>
              <w:rPr>
                <w:b/>
                <w:sz w:val="20"/>
                <w:szCs w:val="20"/>
              </w:rPr>
              <w:t>Spouse or partner:  employer, name, address and nature of business</w:t>
            </w:r>
          </w:p>
          <w:p>
            <w:pPr>
              <w:spacing w:after="120"/>
              <w:jc w:val="both"/>
              <w:rPr>
                <w:b/>
                <w:sz w:val="16"/>
                <w:szCs w:val="16"/>
              </w:rPr>
            </w:pPr>
          </w:p>
        </w:tc>
        <w:tc>
          <w:tcPr>
            <w:tcW w:w="4739" w:type="dxa"/>
          </w:tcPr>
          <w:p>
            <w:pPr>
              <w:spacing w:after="120"/>
              <w:jc w:val="center"/>
              <w:rPr>
                <w:b/>
              </w:rPr>
            </w:pPr>
          </w:p>
        </w:tc>
      </w:tr>
      <w:tr>
        <w:tc>
          <w:tcPr>
            <w:tcW w:w="4503" w:type="dxa"/>
            <w:shd w:val="clear" w:color="auto" w:fill="D9D9D9" w:themeFill="background1" w:themeFillShade="D9"/>
          </w:tcPr>
          <w:p>
            <w:pPr>
              <w:spacing w:after="120"/>
              <w:jc w:val="both"/>
              <w:rPr>
                <w:b/>
                <w:sz w:val="20"/>
                <w:szCs w:val="20"/>
              </w:rPr>
            </w:pPr>
            <w:r>
              <w:rPr>
                <w:b/>
                <w:sz w:val="20"/>
                <w:szCs w:val="20"/>
              </w:rPr>
              <w:t>Contracts between Surrey County Council and self, spouse or partner, or any company mentioned in the next heading</w:t>
            </w:r>
          </w:p>
        </w:tc>
        <w:tc>
          <w:tcPr>
            <w:tcW w:w="4739" w:type="dxa"/>
          </w:tcPr>
          <w:p>
            <w:pPr>
              <w:spacing w:after="120"/>
              <w:jc w:val="center"/>
              <w:rPr>
                <w:b/>
              </w:rPr>
            </w:pPr>
          </w:p>
        </w:tc>
      </w:tr>
      <w:tr>
        <w:tc>
          <w:tcPr>
            <w:tcW w:w="4503" w:type="dxa"/>
            <w:shd w:val="clear" w:color="auto" w:fill="D9D9D9" w:themeFill="background1" w:themeFillShade="D9"/>
          </w:tcPr>
          <w:p>
            <w:pPr>
              <w:spacing w:after="120"/>
              <w:rPr>
                <w:b/>
                <w:sz w:val="20"/>
                <w:szCs w:val="20"/>
              </w:rPr>
            </w:pPr>
            <w:r>
              <w:rPr>
                <w:b/>
                <w:sz w:val="20"/>
                <w:szCs w:val="20"/>
              </w:rPr>
              <w:t>Substantial Interests in Trading Companies</w:t>
            </w:r>
          </w:p>
          <w:p>
            <w:pPr>
              <w:spacing w:after="120"/>
              <w:jc w:val="both"/>
              <w:rPr>
                <w:sz w:val="20"/>
                <w:szCs w:val="20"/>
              </w:rPr>
            </w:pPr>
            <w:r>
              <w:rPr>
                <w:sz w:val="20"/>
                <w:szCs w:val="20"/>
              </w:rPr>
              <w:t xml:space="preserve">Here list any substantial shareholdings over 5% of the issued share capital or in excess of £25,000 nominal value shareholdings, or directorships of self, spouse or partner. </w:t>
            </w:r>
          </w:p>
          <w:p>
            <w:pPr>
              <w:spacing w:after="120"/>
              <w:jc w:val="both"/>
              <w:rPr>
                <w:sz w:val="18"/>
                <w:szCs w:val="18"/>
              </w:rPr>
            </w:pPr>
            <w:r>
              <w:rPr>
                <w:i/>
                <w:sz w:val="18"/>
                <w:szCs w:val="18"/>
              </w:rPr>
              <w:t>Note that the actual amount of any shareholding need not be disclosed, only the name of the</w:t>
            </w:r>
            <w:r>
              <w:rPr>
                <w:sz w:val="18"/>
                <w:szCs w:val="18"/>
              </w:rPr>
              <w:t xml:space="preserve"> company.</w:t>
            </w:r>
          </w:p>
        </w:tc>
        <w:tc>
          <w:tcPr>
            <w:tcW w:w="4739" w:type="dxa"/>
          </w:tcPr>
          <w:p>
            <w:pPr>
              <w:spacing w:after="120"/>
              <w:jc w:val="center"/>
              <w:rPr>
                <w:b/>
              </w:rPr>
            </w:pPr>
          </w:p>
        </w:tc>
      </w:tr>
      <w:tr>
        <w:tc>
          <w:tcPr>
            <w:tcW w:w="4503" w:type="dxa"/>
            <w:shd w:val="clear" w:color="auto" w:fill="D9D9D9" w:themeFill="background1" w:themeFillShade="D9"/>
          </w:tcPr>
          <w:p>
            <w:pPr>
              <w:spacing w:after="120"/>
              <w:jc w:val="both"/>
              <w:rPr>
                <w:b/>
                <w:sz w:val="20"/>
                <w:szCs w:val="20"/>
              </w:rPr>
            </w:pPr>
            <w:r>
              <w:rPr>
                <w:b/>
                <w:sz w:val="20"/>
                <w:szCs w:val="20"/>
              </w:rPr>
              <w:t xml:space="preserve">Governance roles in other educational settings eg other schools, Early Years, post 16 </w:t>
            </w:r>
            <w:proofErr w:type="spellStart"/>
            <w:r>
              <w:rPr>
                <w:b/>
                <w:sz w:val="20"/>
                <w:szCs w:val="20"/>
              </w:rPr>
              <w:t>etc</w:t>
            </w:r>
            <w:proofErr w:type="spellEnd"/>
          </w:p>
        </w:tc>
        <w:tc>
          <w:tcPr>
            <w:tcW w:w="4739" w:type="dxa"/>
          </w:tcPr>
          <w:p>
            <w:pPr>
              <w:spacing w:after="120"/>
              <w:jc w:val="center"/>
              <w:rPr>
                <w:b/>
              </w:rPr>
            </w:pPr>
          </w:p>
        </w:tc>
      </w:tr>
      <w:tr>
        <w:tc>
          <w:tcPr>
            <w:tcW w:w="4503" w:type="dxa"/>
            <w:shd w:val="clear" w:color="auto" w:fill="D9D9D9" w:themeFill="background1" w:themeFillShade="D9"/>
          </w:tcPr>
          <w:p>
            <w:pPr>
              <w:spacing w:after="120"/>
              <w:jc w:val="both"/>
              <w:rPr>
                <w:b/>
                <w:sz w:val="20"/>
                <w:szCs w:val="20"/>
              </w:rPr>
            </w:pPr>
            <w:r>
              <w:rPr>
                <w:b/>
                <w:sz w:val="20"/>
                <w:szCs w:val="20"/>
              </w:rPr>
              <w:t>Names of any body, charity, association or organisation which operates in the Surrey County Council area of which you, your spouse or partner are a member or an officer</w:t>
            </w:r>
          </w:p>
        </w:tc>
        <w:tc>
          <w:tcPr>
            <w:tcW w:w="4739" w:type="dxa"/>
          </w:tcPr>
          <w:p>
            <w:pPr>
              <w:spacing w:after="120"/>
              <w:jc w:val="center"/>
              <w:rPr>
                <w:b/>
              </w:rPr>
            </w:pPr>
          </w:p>
        </w:tc>
      </w:tr>
      <w:tr>
        <w:tc>
          <w:tcPr>
            <w:tcW w:w="4503" w:type="dxa"/>
            <w:shd w:val="clear" w:color="auto" w:fill="D9D9D9" w:themeFill="background1" w:themeFillShade="D9"/>
          </w:tcPr>
          <w:p>
            <w:pPr>
              <w:spacing w:after="120"/>
              <w:rPr>
                <w:sz w:val="22"/>
                <w:szCs w:val="22"/>
              </w:rPr>
            </w:pPr>
            <w:r>
              <w:rPr>
                <w:sz w:val="22"/>
                <w:szCs w:val="22"/>
              </w:rPr>
              <w:t>Signed:</w:t>
            </w:r>
          </w:p>
          <w:p>
            <w:pPr>
              <w:spacing w:after="120"/>
              <w:rPr>
                <w:sz w:val="22"/>
                <w:szCs w:val="22"/>
              </w:rPr>
            </w:pPr>
          </w:p>
        </w:tc>
        <w:tc>
          <w:tcPr>
            <w:tcW w:w="4739" w:type="dxa"/>
          </w:tcPr>
          <w:p>
            <w:pPr>
              <w:spacing w:after="120"/>
              <w:jc w:val="center"/>
              <w:rPr>
                <w:b/>
              </w:rPr>
            </w:pPr>
          </w:p>
        </w:tc>
      </w:tr>
      <w:tr>
        <w:tc>
          <w:tcPr>
            <w:tcW w:w="4503" w:type="dxa"/>
            <w:shd w:val="clear" w:color="auto" w:fill="D9D9D9" w:themeFill="background1" w:themeFillShade="D9"/>
          </w:tcPr>
          <w:p>
            <w:pPr>
              <w:spacing w:after="120"/>
              <w:rPr>
                <w:sz w:val="22"/>
                <w:szCs w:val="22"/>
              </w:rPr>
            </w:pPr>
            <w:r>
              <w:rPr>
                <w:sz w:val="22"/>
                <w:szCs w:val="22"/>
              </w:rPr>
              <w:t>Date:</w:t>
            </w:r>
          </w:p>
        </w:tc>
        <w:tc>
          <w:tcPr>
            <w:tcW w:w="4739" w:type="dxa"/>
          </w:tcPr>
          <w:p>
            <w:pPr>
              <w:spacing w:after="120"/>
              <w:jc w:val="center"/>
              <w:rPr>
                <w:b/>
              </w:rPr>
            </w:pPr>
            <w:r>
              <w:rPr>
                <w:b/>
              </w:rPr>
              <w:t>September 2022</w:t>
            </w:r>
          </w:p>
          <w:p>
            <w:pPr>
              <w:spacing w:after="120"/>
              <w:jc w:val="center"/>
              <w:rPr>
                <w:b/>
              </w:rPr>
            </w:pPr>
          </w:p>
        </w:tc>
      </w:tr>
      <w:tr>
        <w:tc>
          <w:tcPr>
            <w:tcW w:w="4503" w:type="dxa"/>
            <w:shd w:val="clear" w:color="auto" w:fill="D9D9D9" w:themeFill="background1" w:themeFillShade="D9"/>
          </w:tcPr>
          <w:p>
            <w:pPr>
              <w:spacing w:after="120"/>
              <w:rPr>
                <w:sz w:val="22"/>
                <w:szCs w:val="22"/>
              </w:rPr>
            </w:pPr>
            <w:r>
              <w:rPr>
                <w:sz w:val="22"/>
                <w:szCs w:val="22"/>
              </w:rPr>
              <w:t>Review Date:</w:t>
            </w:r>
          </w:p>
        </w:tc>
        <w:tc>
          <w:tcPr>
            <w:tcW w:w="4739" w:type="dxa"/>
          </w:tcPr>
          <w:p>
            <w:pPr>
              <w:spacing w:after="120"/>
              <w:jc w:val="center"/>
              <w:rPr>
                <w:b/>
              </w:rPr>
            </w:pPr>
            <w:r>
              <w:rPr>
                <w:b/>
              </w:rPr>
              <w:t>September 2023</w:t>
            </w:r>
          </w:p>
          <w:p>
            <w:pPr>
              <w:spacing w:after="120"/>
              <w:jc w:val="center"/>
              <w:rPr>
                <w:b/>
              </w:rPr>
            </w:pPr>
          </w:p>
        </w:tc>
      </w:tr>
    </w:tbl>
    <w:p>
      <w:pPr>
        <w:spacing w:after="120" w:line="240" w:lineRule="auto"/>
        <w:rPr>
          <w:b/>
        </w:rPr>
      </w:pPr>
    </w:p>
    <w:p>
      <w:pPr>
        <w:spacing w:after="120" w:line="240" w:lineRule="auto"/>
        <w:jc w:val="center"/>
        <w:rPr>
          <w:b/>
        </w:rPr>
      </w:pPr>
      <w:bookmarkStart w:id="0" w:name="_GoBack"/>
      <w:bookmarkEnd w:id="0"/>
    </w:p>
    <w:p>
      <w:pPr>
        <w:spacing w:after="120" w:line="240" w:lineRule="auto"/>
        <w:jc w:val="center"/>
        <w:rPr>
          <w:b/>
        </w:rPr>
      </w:pPr>
      <w:r>
        <w:rPr>
          <w:b/>
        </w:rPr>
        <w:lastRenderedPageBreak/>
        <w:t>UPDATE OF INTERESTS</w:t>
      </w:r>
    </w:p>
    <w:p>
      <w:pPr>
        <w:spacing w:before="120" w:after="120" w:line="240" w:lineRule="auto"/>
        <w:rPr>
          <w:b/>
          <w:sz w:val="22"/>
          <w:szCs w:val="22"/>
        </w:rPr>
      </w:pPr>
    </w:p>
    <w:tbl>
      <w:tblPr>
        <w:tblStyle w:val="TableGrid"/>
        <w:tblW w:w="0" w:type="auto"/>
        <w:tblLook w:val="04A0" w:firstRow="1" w:lastRow="0" w:firstColumn="1" w:lastColumn="0" w:noHBand="0" w:noVBand="1"/>
      </w:tblPr>
      <w:tblGrid>
        <w:gridCol w:w="2943"/>
        <w:gridCol w:w="6299"/>
      </w:tblGrid>
      <w:tr>
        <w:tc>
          <w:tcPr>
            <w:tcW w:w="2943" w:type="dxa"/>
          </w:tcPr>
          <w:p>
            <w:pPr>
              <w:spacing w:after="120"/>
              <w:rPr>
                <w:sz w:val="22"/>
                <w:szCs w:val="22"/>
              </w:rPr>
            </w:pPr>
            <w:r>
              <w:rPr>
                <w:sz w:val="22"/>
                <w:szCs w:val="22"/>
              </w:rPr>
              <w:t>Date</w:t>
            </w:r>
          </w:p>
        </w:tc>
        <w:tc>
          <w:tcPr>
            <w:tcW w:w="6299" w:type="dxa"/>
          </w:tcPr>
          <w:p>
            <w:pPr>
              <w:spacing w:after="120"/>
              <w:rPr>
                <w:sz w:val="22"/>
                <w:szCs w:val="22"/>
              </w:rPr>
            </w:pPr>
            <w:r>
              <w:rPr>
                <w:sz w:val="22"/>
                <w:szCs w:val="22"/>
              </w:rPr>
              <w:t>Declaration and signature</w:t>
            </w:r>
          </w:p>
        </w:tc>
      </w:tr>
      <w:tr>
        <w:tc>
          <w:tcPr>
            <w:tcW w:w="2943" w:type="dxa"/>
          </w:tcPr>
          <w:p>
            <w:pPr>
              <w:spacing w:after="120"/>
              <w:rPr>
                <w:sz w:val="22"/>
                <w:szCs w:val="22"/>
              </w:rPr>
            </w:pPr>
          </w:p>
          <w:p>
            <w:pPr>
              <w:spacing w:after="120"/>
              <w:rPr>
                <w:sz w:val="22"/>
                <w:szCs w:val="22"/>
              </w:rPr>
            </w:pPr>
          </w:p>
          <w:p>
            <w:pPr>
              <w:spacing w:after="120"/>
              <w:rPr>
                <w:sz w:val="22"/>
                <w:szCs w:val="22"/>
              </w:rPr>
            </w:pPr>
          </w:p>
        </w:tc>
        <w:tc>
          <w:tcPr>
            <w:tcW w:w="6299" w:type="dxa"/>
          </w:tcPr>
          <w:p>
            <w:pPr>
              <w:spacing w:after="120"/>
              <w:rPr>
                <w:sz w:val="22"/>
                <w:szCs w:val="22"/>
              </w:rPr>
            </w:pPr>
          </w:p>
        </w:tc>
      </w:tr>
      <w:tr>
        <w:tc>
          <w:tcPr>
            <w:tcW w:w="2943" w:type="dxa"/>
          </w:tcPr>
          <w:p>
            <w:pPr>
              <w:spacing w:after="120"/>
              <w:rPr>
                <w:sz w:val="22"/>
                <w:szCs w:val="22"/>
              </w:rPr>
            </w:pPr>
          </w:p>
          <w:p>
            <w:pPr>
              <w:spacing w:after="120"/>
              <w:rPr>
                <w:sz w:val="22"/>
                <w:szCs w:val="22"/>
              </w:rPr>
            </w:pPr>
          </w:p>
          <w:p>
            <w:pPr>
              <w:spacing w:after="120"/>
              <w:rPr>
                <w:sz w:val="22"/>
                <w:szCs w:val="22"/>
              </w:rPr>
            </w:pPr>
          </w:p>
        </w:tc>
        <w:tc>
          <w:tcPr>
            <w:tcW w:w="6299" w:type="dxa"/>
          </w:tcPr>
          <w:p>
            <w:pPr>
              <w:spacing w:after="120"/>
              <w:rPr>
                <w:sz w:val="22"/>
                <w:szCs w:val="22"/>
              </w:rPr>
            </w:pPr>
          </w:p>
        </w:tc>
      </w:tr>
      <w:tr>
        <w:tc>
          <w:tcPr>
            <w:tcW w:w="2943" w:type="dxa"/>
          </w:tcPr>
          <w:p>
            <w:pPr>
              <w:spacing w:after="120"/>
              <w:rPr>
                <w:sz w:val="22"/>
                <w:szCs w:val="22"/>
              </w:rPr>
            </w:pPr>
          </w:p>
          <w:p>
            <w:pPr>
              <w:spacing w:after="120"/>
              <w:rPr>
                <w:sz w:val="22"/>
                <w:szCs w:val="22"/>
              </w:rPr>
            </w:pPr>
          </w:p>
          <w:p>
            <w:pPr>
              <w:spacing w:after="120"/>
              <w:rPr>
                <w:sz w:val="22"/>
                <w:szCs w:val="22"/>
              </w:rPr>
            </w:pPr>
          </w:p>
        </w:tc>
        <w:tc>
          <w:tcPr>
            <w:tcW w:w="6299" w:type="dxa"/>
          </w:tcPr>
          <w:p>
            <w:pPr>
              <w:spacing w:after="120"/>
              <w:rPr>
                <w:sz w:val="22"/>
                <w:szCs w:val="22"/>
              </w:rPr>
            </w:pPr>
          </w:p>
        </w:tc>
      </w:tr>
      <w:tr>
        <w:tc>
          <w:tcPr>
            <w:tcW w:w="2943" w:type="dxa"/>
          </w:tcPr>
          <w:p>
            <w:pPr>
              <w:spacing w:after="120"/>
              <w:rPr>
                <w:sz w:val="22"/>
                <w:szCs w:val="22"/>
              </w:rPr>
            </w:pPr>
          </w:p>
          <w:p>
            <w:pPr>
              <w:spacing w:after="120"/>
              <w:rPr>
                <w:sz w:val="22"/>
                <w:szCs w:val="22"/>
              </w:rPr>
            </w:pPr>
          </w:p>
          <w:p>
            <w:pPr>
              <w:spacing w:after="120"/>
              <w:rPr>
                <w:sz w:val="22"/>
                <w:szCs w:val="22"/>
              </w:rPr>
            </w:pPr>
          </w:p>
        </w:tc>
        <w:tc>
          <w:tcPr>
            <w:tcW w:w="6299" w:type="dxa"/>
          </w:tcPr>
          <w:p>
            <w:pPr>
              <w:spacing w:after="120"/>
              <w:rPr>
                <w:sz w:val="22"/>
                <w:szCs w:val="22"/>
              </w:rPr>
            </w:pPr>
          </w:p>
        </w:tc>
      </w:tr>
      <w:tr>
        <w:tc>
          <w:tcPr>
            <w:tcW w:w="2943" w:type="dxa"/>
          </w:tcPr>
          <w:p>
            <w:pPr>
              <w:spacing w:after="120"/>
              <w:rPr>
                <w:sz w:val="22"/>
                <w:szCs w:val="22"/>
              </w:rPr>
            </w:pPr>
          </w:p>
          <w:p>
            <w:pPr>
              <w:spacing w:after="120"/>
              <w:rPr>
                <w:sz w:val="22"/>
                <w:szCs w:val="22"/>
              </w:rPr>
            </w:pPr>
          </w:p>
          <w:p>
            <w:pPr>
              <w:spacing w:after="120"/>
              <w:rPr>
                <w:sz w:val="22"/>
                <w:szCs w:val="22"/>
              </w:rPr>
            </w:pPr>
          </w:p>
        </w:tc>
        <w:tc>
          <w:tcPr>
            <w:tcW w:w="6299" w:type="dxa"/>
          </w:tcPr>
          <w:p>
            <w:pPr>
              <w:spacing w:after="120"/>
              <w:rPr>
                <w:sz w:val="22"/>
                <w:szCs w:val="22"/>
              </w:rPr>
            </w:pPr>
          </w:p>
        </w:tc>
      </w:tr>
      <w:tr>
        <w:tc>
          <w:tcPr>
            <w:tcW w:w="2943" w:type="dxa"/>
          </w:tcPr>
          <w:p>
            <w:pPr>
              <w:spacing w:after="120"/>
              <w:rPr>
                <w:sz w:val="22"/>
                <w:szCs w:val="22"/>
              </w:rPr>
            </w:pPr>
          </w:p>
          <w:p>
            <w:pPr>
              <w:spacing w:after="120"/>
              <w:rPr>
                <w:sz w:val="22"/>
                <w:szCs w:val="22"/>
              </w:rPr>
            </w:pPr>
          </w:p>
          <w:p>
            <w:pPr>
              <w:spacing w:after="120"/>
              <w:rPr>
                <w:sz w:val="22"/>
                <w:szCs w:val="22"/>
              </w:rPr>
            </w:pPr>
          </w:p>
        </w:tc>
        <w:tc>
          <w:tcPr>
            <w:tcW w:w="6299" w:type="dxa"/>
          </w:tcPr>
          <w:p>
            <w:pPr>
              <w:spacing w:after="120"/>
              <w:rPr>
                <w:sz w:val="22"/>
                <w:szCs w:val="22"/>
              </w:rPr>
            </w:pPr>
          </w:p>
        </w:tc>
      </w:tr>
      <w:tr>
        <w:tc>
          <w:tcPr>
            <w:tcW w:w="2943" w:type="dxa"/>
          </w:tcPr>
          <w:p>
            <w:pPr>
              <w:spacing w:after="120"/>
              <w:rPr>
                <w:sz w:val="22"/>
                <w:szCs w:val="22"/>
              </w:rPr>
            </w:pPr>
          </w:p>
          <w:p>
            <w:pPr>
              <w:spacing w:after="120"/>
              <w:rPr>
                <w:sz w:val="22"/>
                <w:szCs w:val="22"/>
              </w:rPr>
            </w:pPr>
          </w:p>
          <w:p>
            <w:pPr>
              <w:spacing w:after="120"/>
              <w:rPr>
                <w:sz w:val="22"/>
                <w:szCs w:val="22"/>
              </w:rPr>
            </w:pPr>
          </w:p>
        </w:tc>
        <w:tc>
          <w:tcPr>
            <w:tcW w:w="6299" w:type="dxa"/>
          </w:tcPr>
          <w:p>
            <w:pPr>
              <w:spacing w:after="120"/>
              <w:rPr>
                <w:sz w:val="22"/>
                <w:szCs w:val="22"/>
              </w:rPr>
            </w:pPr>
          </w:p>
        </w:tc>
      </w:tr>
      <w:tr>
        <w:tc>
          <w:tcPr>
            <w:tcW w:w="2943" w:type="dxa"/>
          </w:tcPr>
          <w:p>
            <w:pPr>
              <w:spacing w:after="120"/>
              <w:rPr>
                <w:sz w:val="22"/>
                <w:szCs w:val="22"/>
              </w:rPr>
            </w:pPr>
          </w:p>
          <w:p>
            <w:pPr>
              <w:spacing w:after="120"/>
              <w:rPr>
                <w:sz w:val="22"/>
                <w:szCs w:val="22"/>
              </w:rPr>
            </w:pPr>
          </w:p>
          <w:p>
            <w:pPr>
              <w:spacing w:after="120"/>
              <w:rPr>
                <w:sz w:val="22"/>
                <w:szCs w:val="22"/>
              </w:rPr>
            </w:pPr>
          </w:p>
        </w:tc>
        <w:tc>
          <w:tcPr>
            <w:tcW w:w="6299" w:type="dxa"/>
          </w:tcPr>
          <w:p>
            <w:pPr>
              <w:spacing w:after="120"/>
              <w:rPr>
                <w:sz w:val="22"/>
                <w:szCs w:val="22"/>
              </w:rPr>
            </w:pPr>
          </w:p>
        </w:tc>
      </w:tr>
      <w:tr>
        <w:tc>
          <w:tcPr>
            <w:tcW w:w="2943" w:type="dxa"/>
          </w:tcPr>
          <w:p>
            <w:pPr>
              <w:spacing w:after="120"/>
              <w:rPr>
                <w:sz w:val="22"/>
                <w:szCs w:val="22"/>
              </w:rPr>
            </w:pPr>
          </w:p>
          <w:p>
            <w:pPr>
              <w:spacing w:after="120"/>
              <w:rPr>
                <w:sz w:val="22"/>
                <w:szCs w:val="22"/>
              </w:rPr>
            </w:pPr>
          </w:p>
          <w:p>
            <w:pPr>
              <w:spacing w:after="120"/>
              <w:rPr>
                <w:sz w:val="22"/>
                <w:szCs w:val="22"/>
              </w:rPr>
            </w:pPr>
          </w:p>
        </w:tc>
        <w:tc>
          <w:tcPr>
            <w:tcW w:w="6299" w:type="dxa"/>
          </w:tcPr>
          <w:p>
            <w:pPr>
              <w:spacing w:after="120"/>
              <w:rPr>
                <w:sz w:val="22"/>
                <w:szCs w:val="22"/>
              </w:rPr>
            </w:pPr>
          </w:p>
        </w:tc>
      </w:tr>
      <w:tr>
        <w:tc>
          <w:tcPr>
            <w:tcW w:w="2943" w:type="dxa"/>
          </w:tcPr>
          <w:p>
            <w:pPr>
              <w:spacing w:after="120"/>
              <w:rPr>
                <w:sz w:val="22"/>
                <w:szCs w:val="22"/>
              </w:rPr>
            </w:pPr>
          </w:p>
        </w:tc>
        <w:tc>
          <w:tcPr>
            <w:tcW w:w="6299" w:type="dxa"/>
          </w:tcPr>
          <w:p>
            <w:pPr>
              <w:spacing w:after="120"/>
              <w:rPr>
                <w:sz w:val="22"/>
                <w:szCs w:val="22"/>
              </w:rPr>
            </w:pPr>
          </w:p>
          <w:p>
            <w:pPr>
              <w:spacing w:after="120"/>
              <w:rPr>
                <w:sz w:val="22"/>
                <w:szCs w:val="22"/>
              </w:rPr>
            </w:pPr>
          </w:p>
          <w:p>
            <w:pPr>
              <w:spacing w:after="120"/>
              <w:rPr>
                <w:sz w:val="22"/>
                <w:szCs w:val="22"/>
              </w:rPr>
            </w:pPr>
          </w:p>
        </w:tc>
      </w:tr>
    </w:tbl>
    <w:p>
      <w:pPr>
        <w:spacing w:before="120" w:after="120" w:line="240" w:lineRule="auto"/>
        <w:rPr>
          <w:b/>
          <w:sz w:val="22"/>
          <w:szCs w:val="22"/>
        </w:rPr>
      </w:pPr>
    </w:p>
    <w:p>
      <w:pPr>
        <w:spacing w:before="120" w:after="120" w:line="240" w:lineRule="auto"/>
        <w:rPr>
          <w:b/>
          <w:sz w:val="22"/>
          <w:szCs w:val="22"/>
        </w:rPr>
      </w:pPr>
    </w:p>
    <w:p>
      <w:pPr>
        <w:rPr>
          <w:b/>
          <w:sz w:val="22"/>
          <w:szCs w:val="22"/>
        </w:rPr>
      </w:pPr>
    </w:p>
    <w:p>
      <w:pPr>
        <w:spacing w:before="120" w:after="120" w:line="240" w:lineRule="auto"/>
        <w:rPr>
          <w:b/>
        </w:rPr>
      </w:pPr>
    </w:p>
    <w:p>
      <w:pPr>
        <w:spacing w:after="0" w:line="240" w:lineRule="auto"/>
        <w:jc w:val="center"/>
        <w:rPr>
          <w:b/>
        </w:rPr>
      </w:pPr>
    </w:p>
    <w:p>
      <w:pPr>
        <w:spacing w:after="0" w:line="240" w:lineRule="auto"/>
        <w:jc w:val="center"/>
        <w:rPr>
          <w:b/>
        </w:rPr>
      </w:pPr>
      <w:r>
        <w:rPr>
          <w:b/>
        </w:rPr>
        <w:t>SUPPORTING NOTES FOR REGISTER OF INTERESTS</w:t>
      </w:r>
    </w:p>
    <w:p>
      <w:pPr>
        <w:spacing w:after="0" w:line="240" w:lineRule="auto"/>
        <w:jc w:val="center"/>
        <w:rPr>
          <w:b/>
          <w:sz w:val="22"/>
          <w:szCs w:val="22"/>
        </w:rPr>
      </w:pPr>
      <w:r>
        <w:rPr>
          <w:b/>
          <w:sz w:val="22"/>
          <w:szCs w:val="22"/>
        </w:rPr>
        <w:t>DECLARATION OF INTEREST</w:t>
      </w:r>
      <w:r>
        <w:rPr>
          <w:b/>
          <w:sz w:val="22"/>
          <w:szCs w:val="22"/>
        </w:rPr>
        <w:br/>
        <w:t>Understanding the requirement for a Register of Interests</w:t>
      </w:r>
    </w:p>
    <w:p>
      <w:pPr>
        <w:spacing w:after="0" w:line="240" w:lineRule="auto"/>
        <w:jc w:val="center"/>
        <w:rPr>
          <w:b/>
          <w:sz w:val="22"/>
          <w:szCs w:val="22"/>
        </w:rPr>
      </w:pPr>
    </w:p>
    <w:p>
      <w:pPr>
        <w:spacing w:after="0" w:line="240" w:lineRule="auto"/>
        <w:jc w:val="both"/>
        <w:rPr>
          <w:sz w:val="20"/>
          <w:szCs w:val="20"/>
        </w:rPr>
      </w:pPr>
      <w:r>
        <w:rPr>
          <w:sz w:val="20"/>
          <w:szCs w:val="20"/>
        </w:rPr>
        <w:t>The overriding purpose of governors, senior leaders and others involved in purchasing/procurement decisions completing the Register is to ensure that governors’ decisions are both taken and seen to be taken without any possibility of influence of external or private interest.</w:t>
      </w:r>
      <w:r>
        <w:rPr>
          <w:bCs/>
          <w:iCs/>
          <w:sz w:val="20"/>
          <w:szCs w:val="20"/>
        </w:rPr>
        <w:t xml:space="preserve"> </w:t>
      </w:r>
    </w:p>
    <w:p>
      <w:pPr>
        <w:spacing w:before="120" w:after="120" w:line="240" w:lineRule="auto"/>
        <w:jc w:val="both"/>
        <w:rPr>
          <w:sz w:val="20"/>
          <w:szCs w:val="20"/>
        </w:rPr>
      </w:pPr>
      <w:r>
        <w:rPr>
          <w:sz w:val="20"/>
          <w:szCs w:val="20"/>
        </w:rPr>
        <w:t xml:space="preserve">It has always been the duty of all governors to declare any personal interest in any matter which is before the governing body for decision. </w:t>
      </w:r>
    </w:p>
    <w:p>
      <w:pPr>
        <w:spacing w:after="0" w:line="240" w:lineRule="auto"/>
        <w:jc w:val="both"/>
        <w:rPr>
          <w:sz w:val="20"/>
          <w:szCs w:val="20"/>
        </w:rPr>
      </w:pPr>
      <w:r>
        <w:rPr>
          <w:sz w:val="20"/>
          <w:szCs w:val="20"/>
        </w:rPr>
        <w:t xml:space="preserve">It is good practice to identify the nature of the business and any potential contracts it may have with the school eg Brown &amp; Co (painters and decorators).  </w:t>
      </w:r>
    </w:p>
    <w:p>
      <w:pPr>
        <w:spacing w:after="0" w:line="240" w:lineRule="auto"/>
        <w:jc w:val="both"/>
        <w:rPr>
          <w:sz w:val="20"/>
          <w:szCs w:val="20"/>
        </w:rPr>
      </w:pPr>
    </w:p>
    <w:p>
      <w:pPr>
        <w:spacing w:after="0" w:line="240" w:lineRule="auto"/>
        <w:jc w:val="both"/>
        <w:rPr>
          <w:b/>
          <w:sz w:val="20"/>
          <w:szCs w:val="20"/>
        </w:rPr>
      </w:pPr>
      <w:r>
        <w:rPr>
          <w:b/>
          <w:sz w:val="20"/>
          <w:szCs w:val="20"/>
        </w:rPr>
        <w:t>Direct Pecuniary Interest</w:t>
      </w:r>
    </w:p>
    <w:p>
      <w:pPr>
        <w:spacing w:after="0" w:line="240" w:lineRule="auto"/>
        <w:jc w:val="both"/>
        <w:rPr>
          <w:sz w:val="20"/>
          <w:szCs w:val="20"/>
        </w:rPr>
      </w:pPr>
      <w:r>
        <w:rPr>
          <w:sz w:val="20"/>
          <w:szCs w:val="20"/>
        </w:rPr>
        <w:t xml:space="preserve">This is where a governor may personally benefit from the consequences of a decision. Example: a decision to pay a governor compensation for damage to his/her car whilst parked on school property. </w:t>
      </w:r>
    </w:p>
    <w:p>
      <w:pPr>
        <w:spacing w:after="0" w:line="240" w:lineRule="auto"/>
        <w:jc w:val="both"/>
        <w:rPr>
          <w:sz w:val="20"/>
          <w:szCs w:val="20"/>
        </w:rPr>
      </w:pPr>
    </w:p>
    <w:p>
      <w:pPr>
        <w:spacing w:after="120" w:line="240" w:lineRule="auto"/>
        <w:jc w:val="both"/>
        <w:rPr>
          <w:b/>
          <w:sz w:val="20"/>
          <w:szCs w:val="20"/>
        </w:rPr>
      </w:pPr>
      <w:r>
        <w:rPr>
          <w:b/>
          <w:sz w:val="20"/>
          <w:szCs w:val="20"/>
        </w:rPr>
        <w:t>Indirect Pecuniary Interest</w:t>
      </w:r>
    </w:p>
    <w:p>
      <w:pPr>
        <w:spacing w:before="120" w:after="120" w:line="240" w:lineRule="auto"/>
        <w:jc w:val="both"/>
        <w:rPr>
          <w:sz w:val="20"/>
          <w:szCs w:val="20"/>
        </w:rPr>
      </w:pPr>
      <w:r>
        <w:rPr>
          <w:sz w:val="20"/>
          <w:szCs w:val="20"/>
        </w:rPr>
        <w:t>This is where the governor’s employer, or partner in a partnership, or a company in which he/she has shares, or a body of which he/she is a trustee/director/member may benefit from the consequences of the decision. Example: the school agrees to let a football pitch to a club of which the governor is a member.</w:t>
      </w:r>
    </w:p>
    <w:p>
      <w:pPr>
        <w:spacing w:before="120" w:after="120" w:line="240" w:lineRule="auto"/>
        <w:jc w:val="both"/>
        <w:rPr>
          <w:sz w:val="20"/>
          <w:szCs w:val="20"/>
        </w:rPr>
      </w:pPr>
      <w:r>
        <w:rPr>
          <w:sz w:val="20"/>
          <w:szCs w:val="20"/>
        </w:rPr>
        <w:t xml:space="preserve">N.B. If a relative of the governor, including a spouse or someone living with them, could benefit </w:t>
      </w:r>
      <w:r>
        <w:rPr>
          <w:b/>
          <w:sz w:val="20"/>
          <w:szCs w:val="20"/>
        </w:rPr>
        <w:t>directly or indirectly</w:t>
      </w:r>
      <w:r>
        <w:rPr>
          <w:sz w:val="20"/>
          <w:szCs w:val="20"/>
        </w:rPr>
        <w:t xml:space="preserve"> from the decision, and they are aware of this, they should treat the situation as if it was themselves.</w:t>
      </w:r>
    </w:p>
    <w:p>
      <w:pPr>
        <w:spacing w:before="120" w:after="120" w:line="240" w:lineRule="auto"/>
        <w:jc w:val="both"/>
        <w:rPr>
          <w:sz w:val="20"/>
          <w:szCs w:val="20"/>
        </w:rPr>
      </w:pPr>
      <w:r>
        <w:rPr>
          <w:sz w:val="20"/>
          <w:szCs w:val="20"/>
        </w:rPr>
        <w:t>Benefit is intended to mean any benefit, even if, for example, a contract was concluded on very favourable terms for the school.</w:t>
      </w:r>
    </w:p>
    <w:p>
      <w:pPr>
        <w:spacing w:before="120" w:after="120" w:line="240" w:lineRule="auto"/>
        <w:jc w:val="both"/>
        <w:rPr>
          <w:sz w:val="20"/>
          <w:szCs w:val="20"/>
        </w:rPr>
      </w:pPr>
      <w:r>
        <w:rPr>
          <w:sz w:val="20"/>
          <w:szCs w:val="20"/>
        </w:rPr>
        <w:t>If any of the above applies to a governor or member of the senior leadership team, they must:</w:t>
      </w:r>
    </w:p>
    <w:p>
      <w:pPr>
        <w:pStyle w:val="ListParagraph"/>
        <w:numPr>
          <w:ilvl w:val="0"/>
          <w:numId w:val="1"/>
        </w:numPr>
        <w:spacing w:before="120" w:after="120" w:line="240" w:lineRule="auto"/>
        <w:jc w:val="both"/>
        <w:rPr>
          <w:sz w:val="20"/>
          <w:szCs w:val="20"/>
        </w:rPr>
      </w:pPr>
      <w:r>
        <w:rPr>
          <w:sz w:val="20"/>
          <w:szCs w:val="20"/>
        </w:rPr>
        <w:t>Declare an interest, saying whether it is direct or indirect;</w:t>
      </w:r>
    </w:p>
    <w:p>
      <w:pPr>
        <w:pStyle w:val="ListParagraph"/>
        <w:numPr>
          <w:ilvl w:val="0"/>
          <w:numId w:val="1"/>
        </w:numPr>
        <w:spacing w:before="120" w:after="120" w:line="240" w:lineRule="auto"/>
        <w:jc w:val="both"/>
        <w:rPr>
          <w:sz w:val="20"/>
          <w:szCs w:val="20"/>
        </w:rPr>
      </w:pPr>
      <w:r>
        <w:rPr>
          <w:sz w:val="20"/>
          <w:szCs w:val="20"/>
        </w:rPr>
        <w:t>Leave the room whilst the matter is discussed.</w:t>
      </w:r>
    </w:p>
    <w:p>
      <w:pPr>
        <w:spacing w:before="120" w:after="120" w:line="240" w:lineRule="auto"/>
        <w:jc w:val="both"/>
        <w:rPr>
          <w:sz w:val="20"/>
          <w:szCs w:val="20"/>
        </w:rPr>
      </w:pPr>
      <w:r>
        <w:rPr>
          <w:sz w:val="20"/>
          <w:szCs w:val="20"/>
        </w:rPr>
        <w:t>This rule applies to all governors, including the clerk who does not have to leave the room, but must remain silent.</w:t>
      </w:r>
    </w:p>
    <w:p>
      <w:pPr>
        <w:spacing w:before="120" w:after="120" w:line="240" w:lineRule="auto"/>
        <w:jc w:val="both"/>
        <w:rPr>
          <w:sz w:val="20"/>
          <w:szCs w:val="20"/>
        </w:rPr>
      </w:pPr>
      <w:r>
        <w:rPr>
          <w:sz w:val="20"/>
          <w:szCs w:val="20"/>
        </w:rPr>
        <w:t>A teacher governor does not have to declare an interest in any matter if that person’s interest is no different from other teachers, or it relates to curriculum or management issues.</w:t>
      </w:r>
    </w:p>
    <w:p>
      <w:pPr>
        <w:spacing w:before="120" w:after="120" w:line="240" w:lineRule="auto"/>
        <w:jc w:val="both"/>
        <w:rPr>
          <w:sz w:val="20"/>
          <w:szCs w:val="20"/>
        </w:rPr>
      </w:pPr>
      <w:r>
        <w:rPr>
          <w:sz w:val="20"/>
          <w:szCs w:val="20"/>
        </w:rPr>
        <w:t>The Register of Interests:</w:t>
      </w:r>
    </w:p>
    <w:p>
      <w:pPr>
        <w:pStyle w:val="ListParagraph"/>
        <w:numPr>
          <w:ilvl w:val="0"/>
          <w:numId w:val="2"/>
        </w:numPr>
        <w:spacing w:before="120" w:after="120" w:line="240" w:lineRule="auto"/>
        <w:jc w:val="both"/>
        <w:rPr>
          <w:sz w:val="20"/>
          <w:szCs w:val="20"/>
        </w:rPr>
      </w:pPr>
      <w:r>
        <w:rPr>
          <w:sz w:val="20"/>
          <w:szCs w:val="20"/>
        </w:rPr>
        <w:t>The purpose of the Register is to allow governors and others who have personal and/or private interests, which may cause a conflict of interest between their positions outside the governing body, to notify those interests in advance of a decision being made.</w:t>
      </w:r>
    </w:p>
    <w:p>
      <w:pPr>
        <w:pStyle w:val="ListParagraph"/>
        <w:spacing w:before="120" w:after="120" w:line="240" w:lineRule="auto"/>
        <w:jc w:val="both"/>
        <w:rPr>
          <w:sz w:val="20"/>
          <w:szCs w:val="20"/>
        </w:rPr>
      </w:pPr>
    </w:p>
    <w:p>
      <w:pPr>
        <w:pStyle w:val="ListParagraph"/>
        <w:numPr>
          <w:ilvl w:val="0"/>
          <w:numId w:val="2"/>
        </w:numPr>
        <w:spacing w:before="120" w:after="0" w:line="240" w:lineRule="auto"/>
        <w:jc w:val="both"/>
        <w:rPr>
          <w:sz w:val="20"/>
          <w:szCs w:val="20"/>
        </w:rPr>
      </w:pPr>
      <w:r>
        <w:rPr>
          <w:sz w:val="20"/>
          <w:szCs w:val="20"/>
        </w:rPr>
        <w:t>All governors, the clerk and the senior leadership team should complete the Register.</w:t>
      </w:r>
    </w:p>
    <w:p>
      <w:pPr>
        <w:spacing w:after="0" w:line="240" w:lineRule="auto"/>
        <w:jc w:val="both"/>
        <w:rPr>
          <w:sz w:val="20"/>
          <w:szCs w:val="20"/>
        </w:rPr>
      </w:pPr>
    </w:p>
    <w:p>
      <w:pPr>
        <w:spacing w:after="0" w:line="240" w:lineRule="auto"/>
        <w:jc w:val="both"/>
        <w:rPr>
          <w:sz w:val="20"/>
          <w:szCs w:val="20"/>
        </w:rPr>
      </w:pPr>
      <w:r>
        <w:rPr>
          <w:sz w:val="20"/>
          <w:szCs w:val="20"/>
        </w:rPr>
        <w:t>We advise that the Register of Interests be filed in a secure environment in the school due to the sensitive nature of the information.  The individual Registers of Business Interests should be available at each governing body meeting for any updates or reference.</w:t>
      </w:r>
    </w:p>
    <w:p>
      <w:pPr>
        <w:pBdr>
          <w:bottom w:val="single" w:sz="12" w:space="1" w:color="auto"/>
        </w:pBdr>
        <w:spacing w:after="0" w:line="240" w:lineRule="auto"/>
        <w:rPr>
          <w:b/>
          <w:sz w:val="20"/>
          <w:szCs w:val="20"/>
        </w:rPr>
      </w:pPr>
    </w:p>
    <w:p>
      <w:pPr>
        <w:spacing w:after="0" w:line="240" w:lineRule="auto"/>
        <w:rPr>
          <w:sz w:val="16"/>
          <w:szCs w:val="16"/>
        </w:rPr>
      </w:pPr>
    </w:p>
    <w:p>
      <w:pPr>
        <w:spacing w:after="0" w:line="240" w:lineRule="auto"/>
        <w:rPr>
          <w:b/>
          <w:sz w:val="16"/>
          <w:szCs w:val="16"/>
        </w:rPr>
      </w:pPr>
      <w:r>
        <w:rPr>
          <w:b/>
          <w:sz w:val="16"/>
          <w:szCs w:val="16"/>
        </w:rPr>
        <w:t xml:space="preserve">The School and Early Years Finance (England) Regulations 2014 </w:t>
      </w:r>
    </w:p>
    <w:p>
      <w:pPr>
        <w:spacing w:after="0" w:line="240" w:lineRule="auto"/>
        <w:rPr>
          <w:sz w:val="16"/>
          <w:szCs w:val="16"/>
        </w:rPr>
      </w:pPr>
      <w:r>
        <w:rPr>
          <w:sz w:val="16"/>
          <w:szCs w:val="16"/>
        </w:rPr>
        <w:t>PART 4</w:t>
      </w:r>
    </w:p>
    <w:p>
      <w:pPr>
        <w:spacing w:after="0" w:line="240" w:lineRule="auto"/>
        <w:rPr>
          <w:sz w:val="16"/>
          <w:szCs w:val="16"/>
        </w:rPr>
      </w:pPr>
      <w:r>
        <w:rPr>
          <w:sz w:val="16"/>
          <w:szCs w:val="16"/>
        </w:rPr>
        <w:t>Schemes</w:t>
      </w:r>
    </w:p>
    <w:p>
      <w:pPr>
        <w:spacing w:after="0" w:line="240" w:lineRule="auto"/>
        <w:rPr>
          <w:sz w:val="16"/>
          <w:szCs w:val="16"/>
        </w:rPr>
      </w:pPr>
      <w:r>
        <w:rPr>
          <w:sz w:val="16"/>
          <w:szCs w:val="16"/>
        </w:rPr>
        <w:t>Required content of schemes</w:t>
      </w:r>
    </w:p>
    <w:p>
      <w:pPr>
        <w:spacing w:after="0" w:line="240" w:lineRule="auto"/>
        <w:rPr>
          <w:sz w:val="16"/>
          <w:szCs w:val="16"/>
        </w:rPr>
      </w:pPr>
      <w:r>
        <w:rPr>
          <w:sz w:val="16"/>
          <w:szCs w:val="16"/>
        </w:rPr>
        <w:t>26. A scheme prepared by a local authority under section 48(1) of the 1998 Act must deal with the matters connected with the financing of schools maintained by the authority set out in Schedule 5.</w:t>
      </w:r>
    </w:p>
    <w:p>
      <w:pPr>
        <w:spacing w:after="0" w:line="240" w:lineRule="auto"/>
        <w:rPr>
          <w:sz w:val="16"/>
          <w:szCs w:val="16"/>
        </w:rPr>
      </w:pPr>
    </w:p>
    <w:p>
      <w:pPr>
        <w:spacing w:after="0" w:line="240" w:lineRule="auto"/>
        <w:rPr>
          <w:sz w:val="16"/>
          <w:szCs w:val="16"/>
        </w:rPr>
      </w:pPr>
      <w:r>
        <w:rPr>
          <w:sz w:val="16"/>
          <w:szCs w:val="16"/>
        </w:rPr>
        <w:t xml:space="preserve">Schedule 5 Regulation 26 </w:t>
      </w:r>
    </w:p>
    <w:p>
      <w:pPr>
        <w:spacing w:after="120" w:line="240" w:lineRule="auto"/>
        <w:rPr>
          <w:sz w:val="16"/>
          <w:szCs w:val="16"/>
        </w:rPr>
      </w:pPr>
      <w:r>
        <w:rPr>
          <w:sz w:val="16"/>
          <w:szCs w:val="16"/>
        </w:rPr>
        <w:t xml:space="preserve">15. </w:t>
      </w:r>
      <w:r>
        <w:rPr>
          <w:rFonts w:ascii="TimesNewRoman" w:hAnsi="TimesNewRoman" w:cs="TimesNewRoman"/>
          <w:sz w:val="16"/>
          <w:szCs w:val="16"/>
        </w:rPr>
        <w:t>The keeping of a register of any business interests of the governors and the head teacher.</w:t>
      </w:r>
      <w:r>
        <w:rPr>
          <w:sz w:val="16"/>
          <w:szCs w:val="16"/>
        </w:rPr>
        <w:t xml:space="preserve"> </w:t>
      </w:r>
    </w:p>
    <w:p>
      <w:pPr>
        <w:spacing w:after="0" w:line="240" w:lineRule="auto"/>
        <w:rPr>
          <w:b/>
          <w:iCs/>
          <w:sz w:val="16"/>
          <w:szCs w:val="16"/>
        </w:rPr>
      </w:pPr>
      <w:r>
        <w:rPr>
          <w:b/>
          <w:iCs/>
          <w:sz w:val="16"/>
          <w:szCs w:val="16"/>
        </w:rPr>
        <w:t xml:space="preserve">The School Governance (Roles, Procedures and Allowances) (England) Regulations 2013 </w:t>
      </w:r>
    </w:p>
    <w:p>
      <w:pPr>
        <w:spacing w:after="120" w:line="240" w:lineRule="auto"/>
        <w:rPr>
          <w:iCs/>
          <w:sz w:val="16"/>
          <w:szCs w:val="16"/>
        </w:rPr>
      </w:pPr>
      <w:r>
        <w:rPr>
          <w:iCs/>
          <w:sz w:val="16"/>
          <w:szCs w:val="16"/>
        </w:rPr>
        <w:t>Schedule 1 Regulation 16 Pecuniary Interests and Other Specified Conflicts of Interests</w:t>
      </w:r>
    </w:p>
    <w:p>
      <w:pPr>
        <w:spacing w:after="0" w:line="240" w:lineRule="auto"/>
        <w:rPr>
          <w:b/>
          <w:sz w:val="16"/>
          <w:szCs w:val="16"/>
        </w:rPr>
      </w:pPr>
      <w:r>
        <w:rPr>
          <w:b/>
          <w:sz w:val="16"/>
          <w:szCs w:val="16"/>
        </w:rPr>
        <w:t xml:space="preserve">DfE Statutory Guidance </w:t>
      </w:r>
      <w:proofErr w:type="gramStart"/>
      <w:r>
        <w:rPr>
          <w:b/>
          <w:sz w:val="16"/>
          <w:szCs w:val="16"/>
        </w:rPr>
        <w:t>The</w:t>
      </w:r>
      <w:proofErr w:type="gramEnd"/>
      <w:r>
        <w:rPr>
          <w:b/>
          <w:sz w:val="16"/>
          <w:szCs w:val="16"/>
        </w:rPr>
        <w:t xml:space="preserve"> Constitution of governing bodies of maintained schools August 2017</w:t>
      </w:r>
    </w:p>
    <w:p>
      <w:pPr>
        <w:spacing w:after="120" w:line="240" w:lineRule="auto"/>
        <w:rPr>
          <w:sz w:val="16"/>
          <w:szCs w:val="16"/>
        </w:rPr>
      </w:pPr>
      <w:r>
        <w:rPr>
          <w:sz w:val="16"/>
          <w:szCs w:val="16"/>
        </w:rPr>
        <w:t>Publication of Governor’s Details and the Register of Interests</w:t>
      </w:r>
    </w:p>
    <w:sectPr>
      <w:headerReference w:type="default"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5D17"/>
    <w:multiLevelType w:val="hybridMultilevel"/>
    <w:tmpl w:val="6032C09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25E71"/>
    <w:multiLevelType w:val="hybridMultilevel"/>
    <w:tmpl w:val="C68EDD7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F00704"/>
    <w:multiLevelType w:val="hybridMultilevel"/>
    <w:tmpl w:val="03FC5044"/>
    <w:lvl w:ilvl="0" w:tplc="6640145A">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15:docId w15:val="{DA64B714-2D98-4433-A09E-0A2690FD6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EE810-5D69-4BEB-9B31-2DEE8899F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Stovell, Esther</dc:creator>
  <cp:lastModifiedBy>Nutfield Church Primary School Office</cp:lastModifiedBy>
  <cp:revision>2</cp:revision>
  <cp:lastPrinted>2018-09-10T13:26:00Z</cp:lastPrinted>
  <dcterms:created xsi:type="dcterms:W3CDTF">2022-09-14T11:42:00Z</dcterms:created>
  <dcterms:modified xsi:type="dcterms:W3CDTF">2022-09-14T11:42:00Z</dcterms:modified>
</cp:coreProperties>
</file>